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11</w:t>
      </w:r>
      <w:r>
        <w:rPr>
          <w:rFonts w:hint="eastAsia" w:ascii="Arial" w:hAnsi="Arial" w:cs="Arial"/>
          <w:b/>
          <w:bCs/>
          <w:snapToGrid w:val="0"/>
          <w:kern w:val="0"/>
          <w:sz w:val="24"/>
        </w:rPr>
        <w:t>6</w:t>
      </w:r>
      <w:r>
        <w:rPr>
          <w:rFonts w:hint="eastAsia" w:ascii="Arial" w:hAnsi="Arial" w:cs="Arial"/>
          <w:b/>
          <w:bCs/>
          <w:snapToGrid w:val="0"/>
          <w:kern w:val="0"/>
          <w:sz w:val="24"/>
          <w:lang w:val="en-US" w:eastAsia="zh-CN"/>
        </w:rPr>
        <w:t xml:space="preserve"> BIS </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R2-2</w:t>
      </w:r>
      <w:r>
        <w:rPr>
          <w:rFonts w:hint="eastAsia" w:ascii="Arial" w:hAnsi="Arial" w:cs="Arial"/>
          <w:b/>
          <w:bCs/>
          <w:snapToGrid w:val="0"/>
          <w:kern w:val="0"/>
          <w:sz w:val="24"/>
          <w:lang w:val="en-US" w:eastAsia="zh-CN"/>
        </w:rPr>
        <w:t>201223</w:t>
      </w:r>
    </w:p>
    <w:p>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hint="eastAsia" w:ascii="Arial" w:hAnsi="Arial" w:cs="Arial"/>
          <w:b/>
          <w:bCs/>
          <w:kern w:val="0"/>
          <w:sz w:val="24"/>
        </w:rPr>
        <w:t xml:space="preserve">Electronic, </w:t>
      </w:r>
      <w:r>
        <w:rPr>
          <w:rFonts w:hint="eastAsia" w:ascii="Arial" w:hAnsi="Arial" w:cs="Arial"/>
          <w:b/>
          <w:bCs/>
          <w:kern w:val="0"/>
          <w:sz w:val="24"/>
          <w:lang w:val="en-US" w:eastAsia="zh-CN"/>
        </w:rPr>
        <w:t>17</w:t>
      </w:r>
      <w:r>
        <w:rPr>
          <w:rFonts w:hint="eastAsia" w:ascii="Arial" w:hAnsi="Arial" w:cs="Arial"/>
          <w:b/>
          <w:bCs/>
          <w:kern w:val="0"/>
          <w:sz w:val="24"/>
          <w:vertAlign w:val="superscript"/>
          <w:lang w:val="en-US" w:eastAsia="zh-CN"/>
        </w:rPr>
        <w:t>th</w:t>
      </w:r>
      <w:r>
        <w:rPr>
          <w:rFonts w:hint="eastAsia" w:ascii="Arial" w:hAnsi="Arial" w:cs="Arial"/>
          <w:b/>
          <w:bCs/>
          <w:kern w:val="0"/>
          <w:sz w:val="24"/>
          <w:lang w:val="en-US" w:eastAsia="zh-CN"/>
        </w:rPr>
        <w:t xml:space="preserve"> Jan</w:t>
      </w:r>
      <w:r>
        <w:rPr>
          <w:rFonts w:hint="eastAsia" w:ascii="Arial" w:hAnsi="Arial" w:cs="Arial"/>
          <w:b/>
          <w:bCs/>
          <w:kern w:val="0"/>
          <w:sz w:val="24"/>
        </w:rPr>
        <w:t xml:space="preserve">- </w:t>
      </w:r>
      <w:r>
        <w:rPr>
          <w:rFonts w:hint="eastAsia" w:ascii="Arial" w:hAnsi="Arial" w:cs="Arial"/>
          <w:b/>
          <w:bCs/>
          <w:kern w:val="0"/>
          <w:sz w:val="24"/>
          <w:lang w:val="en-US" w:eastAsia="zh-CN"/>
        </w:rPr>
        <w:t>25</w:t>
      </w:r>
      <w:r>
        <w:rPr>
          <w:rFonts w:hint="eastAsia" w:ascii="Arial" w:hAnsi="Arial" w:cs="Arial"/>
          <w:b/>
          <w:bCs/>
          <w:kern w:val="0"/>
          <w:sz w:val="24"/>
          <w:vertAlign w:val="superscript"/>
        </w:rPr>
        <w:t>th</w:t>
      </w:r>
      <w:r>
        <w:rPr>
          <w:rFonts w:hint="eastAsia" w:ascii="Arial" w:hAnsi="Arial" w:cs="Arial"/>
          <w:b/>
          <w:bCs/>
          <w:kern w:val="0"/>
          <w:sz w:val="24"/>
        </w:rPr>
        <w:t xml:space="preserve"> </w:t>
      </w:r>
      <w:r>
        <w:rPr>
          <w:rFonts w:hint="eastAsia" w:ascii="Arial" w:hAnsi="Arial" w:cs="Arial"/>
          <w:b/>
          <w:bCs/>
          <w:kern w:val="0"/>
          <w:sz w:val="24"/>
          <w:lang w:val="en-US" w:eastAsia="zh-CN"/>
        </w:rPr>
        <w:t>Jan</w:t>
      </w:r>
      <w:r>
        <w:rPr>
          <w:rFonts w:ascii="Arial" w:hAnsi="Arial" w:cs="Arial"/>
          <w:b/>
          <w:bCs/>
          <w:kern w:val="0"/>
          <w:sz w:val="24"/>
        </w:rPr>
        <w:t xml:space="preserve"> </w:t>
      </w:r>
      <w:r>
        <w:rPr>
          <w:rFonts w:hint="eastAsia" w:ascii="Arial" w:hAnsi="Arial" w:cs="Arial"/>
          <w:b/>
          <w:bCs/>
          <w:kern w:val="0"/>
          <w:sz w:val="24"/>
        </w:rPr>
        <w:t>202</w:t>
      </w:r>
      <w:r>
        <w:rPr>
          <w:rFonts w:hint="eastAsia" w:ascii="Arial" w:hAnsi="Arial" w:cs="Arial"/>
          <w:b/>
          <w:bCs/>
          <w:kern w:val="0"/>
          <w:sz w:val="24"/>
          <w:lang w:val="en-US" w:eastAsia="zh-CN"/>
        </w:rPr>
        <w:t>2</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hint="eastAsia" w:ascii="Arial" w:hAnsi="Arial" w:cs="Arial"/>
          <w:b/>
          <w:bCs/>
          <w:kern w:val="0"/>
          <w:sz w:val="24"/>
        </w:rPr>
        <w:t xml:space="preserve">       </w:t>
      </w:r>
      <w:r>
        <w:rPr>
          <w:rFonts w:ascii="Arial" w:hAnsi="Arial" w:cs="Arial"/>
          <w:b/>
          <w:bCs/>
          <w:kern w:val="0"/>
          <w:sz w:val="24"/>
          <w:lang w:val="en-GB"/>
        </w:rPr>
        <w:t xml:space="preserve"> </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r>
        <w:rPr>
          <w:rFonts w:hint="eastAsia" w:ascii="Arial" w:hAnsi="Arial" w:cs="Arial"/>
          <w:b/>
          <w:bCs/>
          <w:snapToGrid w:val="0"/>
          <w:kern w:val="0"/>
          <w:sz w:val="24"/>
        </w:rPr>
        <w:t>, Sanechips</w:t>
      </w:r>
    </w:p>
    <w:p>
      <w:pPr>
        <w:overflowPunct w:val="0"/>
        <w:autoSpaceDE w:val="0"/>
        <w:autoSpaceDN w:val="0"/>
        <w:adjustRightInd w:val="0"/>
        <w:snapToGrid w:val="0"/>
        <w:spacing w:line="240" w:lineRule="auto"/>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Consideration on Implementation of Unified TCI Framework</w:t>
      </w:r>
    </w:p>
    <w:p>
      <w:pPr>
        <w:overflowPunct w:val="0"/>
        <w:autoSpaceDE w:val="0"/>
        <w:autoSpaceDN w:val="0"/>
        <w:adjustRightInd w:val="0"/>
        <w:snapToGrid w:val="0"/>
        <w:spacing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ascii="Arial" w:hAnsi="Arial" w:cs="Arial"/>
          <w:b/>
          <w:bCs/>
          <w:snapToGrid w:val="0"/>
          <w:kern w:val="0"/>
          <w:sz w:val="24"/>
        </w:rPr>
        <w:t>8.</w:t>
      </w:r>
      <w:r>
        <w:rPr>
          <w:rFonts w:hint="eastAsia" w:ascii="Arial" w:hAnsi="Arial" w:cs="Arial"/>
          <w:b/>
          <w:bCs/>
          <w:snapToGrid w:val="0"/>
          <w:kern w:val="0"/>
          <w:sz w:val="24"/>
          <w:lang w:val="en-US" w:eastAsia="zh-CN"/>
        </w:rPr>
        <w:t>17.2</w:t>
      </w:r>
      <w:bookmarkStart w:id="3" w:name="_GoBack"/>
      <w:bookmarkEnd w:id="3"/>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line="240" w:lineRule="auto"/>
        <w:jc w:val="left"/>
        <w:rPr>
          <w:rFonts w:hint="eastAsia"/>
          <w:sz w:val="20"/>
          <w:szCs w:val="20"/>
          <w:lang w:val="en-US" w:eastAsia="zh-CN"/>
        </w:rPr>
      </w:pPr>
      <w:r>
        <w:rPr>
          <w:rFonts w:hint="eastAsia"/>
          <w:sz w:val="20"/>
          <w:szCs w:val="20"/>
          <w:lang w:val="en-US" w:eastAsia="zh-CN"/>
        </w:rPr>
        <w:t>In RAN2#116 emeeting, the following FFS is left:</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pStyle w:val="215"/>
              <w:ind w:left="0" w:leftChars="0" w:firstLine="0" w:firstLineChars="0"/>
              <w:rPr>
                <w:rFonts w:hint="eastAsia"/>
                <w:sz w:val="20"/>
                <w:szCs w:val="20"/>
                <w:vertAlign w:val="baseline"/>
                <w:lang w:val="en-US" w:eastAsia="zh-CN"/>
              </w:rPr>
            </w:pPr>
            <w:r>
              <w:rPr>
                <w:lang w:val="en-US"/>
              </w:rPr>
              <w:t>Chair: On the issue about lists of TCI states P8. Can start e.g. from two lists as RRC rapporteur believes this is simplest</w:t>
            </w:r>
            <w:r>
              <w:rPr>
                <w:highlight w:val="yellow"/>
                <w:lang w:val="en-US"/>
              </w:rPr>
              <w:t>. No option is excluded for now</w:t>
            </w:r>
            <w:r>
              <w:rPr>
                <w:lang w:val="en-US"/>
              </w:rPr>
              <w:t>. However important: no option is intended to restrict what can be controlled in the end (by RRC, MAC CE, DCI). Shall avoid the “pool” notation for now unless it can be made clear what it is (i.e. what restriction is implied by it). In order to have a constructive discussion likely examples of RRC and consequences for MAC CE and DCI (tentative) are needed.</w:t>
            </w:r>
          </w:p>
        </w:tc>
      </w:tr>
    </w:tbl>
    <w:p>
      <w:pPr>
        <w:spacing w:line="240" w:lineRule="auto"/>
        <w:jc w:val="left"/>
        <w:rPr>
          <w:rFonts w:hint="eastAsia"/>
          <w:sz w:val="20"/>
          <w:szCs w:val="20"/>
          <w:lang w:val="en-US" w:eastAsia="zh-CN"/>
        </w:rPr>
      </w:pPr>
      <w:r>
        <w:rPr>
          <w:rFonts w:hint="eastAsia"/>
          <w:sz w:val="20"/>
          <w:szCs w:val="20"/>
          <w:lang w:val="en-US" w:eastAsia="zh-CN"/>
        </w:rPr>
        <w:t>And in post-meeting email discussion,companies are still divergent on the RRC structure of TCI state list for unified TCI framework.</w:t>
      </w:r>
    </w:p>
    <w:p>
      <w:pPr>
        <w:spacing w:line="240" w:lineRule="auto"/>
        <w:jc w:val="left"/>
        <w:rPr>
          <w:rFonts w:hint="default"/>
          <w:sz w:val="20"/>
          <w:szCs w:val="20"/>
          <w:lang w:val="en-US" w:eastAsia="zh-CN"/>
        </w:rPr>
      </w:pPr>
      <w:r>
        <w:rPr>
          <w:rFonts w:hint="eastAsia"/>
          <w:sz w:val="20"/>
          <w:szCs w:val="20"/>
          <w:lang w:val="en-US" w:eastAsia="zh-CN"/>
        </w:rPr>
        <w:t xml:space="preserve">The intention of this contribution is to share our views on above issue.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pPr>
      <w:r>
        <w:rPr>
          <w:rFonts w:ascii="Arial" w:hAnsi="Arial" w:cs="Arial"/>
          <w:b w:val="0"/>
          <w:bCs w:val="0"/>
          <w:kern w:val="0"/>
          <w:sz w:val="32"/>
          <w:szCs w:val="36"/>
        </w:rPr>
        <w:t>Discussion</w:t>
      </w:r>
      <w:bookmarkStart w:id="2" w:name="_Toc12718547"/>
    </w:p>
    <w:p>
      <w:pPr>
        <w:bidi w:val="0"/>
        <w:rPr>
          <w:rFonts w:hint="eastAsia"/>
          <w:b w:val="0"/>
          <w:bCs w:val="0"/>
          <w:lang w:val="en-US" w:eastAsia="zh-CN"/>
        </w:rPr>
      </w:pPr>
      <w:r>
        <w:rPr>
          <w:rFonts w:hint="eastAsia"/>
          <w:b w:val="0"/>
          <w:bCs w:val="0"/>
          <w:lang w:val="en-US" w:eastAsia="zh-CN"/>
        </w:rPr>
        <w:t>According to the agreements in RAN1#106 meeting, the following agreements are achieved:</w:t>
      </w:r>
    </w:p>
    <w:p>
      <w:pPr>
        <w:widowControl/>
        <w:snapToGrid w:val="0"/>
        <w:spacing w:after="0" w:line="240" w:lineRule="auto"/>
        <w:jc w:val="both"/>
        <w:rPr>
          <w:rFonts w:ascii="Times" w:hAnsi="Times" w:eastAsia="바탕" w:cs="Times New Roman"/>
          <w:kern w:val="0"/>
          <w:sz w:val="20"/>
          <w:szCs w:val="20"/>
          <w:highlight w:val="green"/>
          <w:lang w:val="en-GB" w:eastAsia="en-US"/>
        </w:rPr>
      </w:pPr>
      <w:r>
        <w:rPr>
          <w:rFonts w:ascii="Times" w:hAnsi="Times" w:eastAsia="바탕" w:cs="Times New Roman"/>
          <w:b/>
          <w:kern w:val="0"/>
          <w:sz w:val="20"/>
          <w:szCs w:val="20"/>
          <w:highlight w:val="green"/>
          <w:lang w:val="en-GB" w:eastAsia="en-US"/>
        </w:rPr>
        <w:t>Agreement</w:t>
      </w:r>
    </w:p>
    <w:p>
      <w:pPr>
        <w:widowControl/>
        <w:snapToGrid w:val="0"/>
        <w:spacing w:after="0" w:line="240" w:lineRule="auto"/>
        <w:jc w:val="both"/>
        <w:rPr>
          <w:rFonts w:ascii="Times" w:hAnsi="Times" w:eastAsia="Times New Roman" w:cs="Times New Roman"/>
          <w:kern w:val="0"/>
          <w:sz w:val="20"/>
          <w:szCs w:val="20"/>
          <w:lang w:val="en-GB" w:eastAsia="en-US"/>
        </w:rPr>
      </w:pPr>
      <w:r>
        <w:rPr>
          <w:rFonts w:ascii="Times" w:hAnsi="Times" w:eastAsia="Times New Roman" w:cs="Times New Roman"/>
          <w:kern w:val="0"/>
          <w:sz w:val="20"/>
          <w:szCs w:val="20"/>
          <w:lang w:val="en-GB" w:eastAsia="en-US"/>
        </w:rPr>
        <w:t>On Rel.17 unified TCI framework,</w:t>
      </w:r>
      <w:r>
        <w:rPr>
          <w:rFonts w:ascii="Times" w:hAnsi="Times" w:eastAsia="바탕" w:cs="Times New Roman"/>
          <w:kern w:val="0"/>
          <w:sz w:val="20"/>
          <w:szCs w:val="20"/>
          <w:lang w:val="en-GB" w:eastAsia="ja-JP"/>
        </w:rPr>
        <w:t xml:space="preserve"> confirm the following working assumption as an agreement with a minor refinement highlighted in </w:t>
      </w:r>
      <w:r>
        <w:rPr>
          <w:rFonts w:ascii="Times" w:hAnsi="Times" w:eastAsia="바탕" w:cs="Times New Roman"/>
          <w:color w:val="FF0000"/>
          <w:kern w:val="0"/>
          <w:sz w:val="20"/>
          <w:szCs w:val="20"/>
          <w:lang w:val="en-GB" w:eastAsia="ja-JP"/>
        </w:rPr>
        <w:t>red</w:t>
      </w:r>
      <w:r>
        <w:rPr>
          <w:rFonts w:ascii="Times" w:hAnsi="Times" w:eastAsia="바탕" w:cs="Times New Roman"/>
          <w:kern w:val="0"/>
          <w:sz w:val="20"/>
          <w:szCs w:val="20"/>
          <w:lang w:val="en-GB" w:eastAsia="ja-JP"/>
        </w:rPr>
        <w:t xml:space="preserve"> </w:t>
      </w:r>
    </w:p>
    <w:p>
      <w:pPr>
        <w:widowControl/>
        <w:snapToGrid w:val="0"/>
        <w:spacing w:after="0" w:line="240" w:lineRule="auto"/>
        <w:jc w:val="left"/>
        <w:rPr>
          <w:rFonts w:ascii="Times" w:hAnsi="Times" w:eastAsia="바탕" w:cs="Times New Roman"/>
          <w:kern w:val="0"/>
          <w:sz w:val="20"/>
          <w:szCs w:val="20"/>
          <w:highlight w:val="yellow"/>
          <w:lang w:val="en-GB" w:eastAsia="ja-JP"/>
        </w:rPr>
      </w:pPr>
      <w:r>
        <w:rPr>
          <w:rFonts w:ascii="Times" w:hAnsi="Times" w:eastAsia="Malgun Gothic" w:cs="Times New Roman"/>
          <w:kern w:val="0"/>
          <w:sz w:val="20"/>
          <w:highlight w:val="yellow"/>
          <w:lang w:val="en-GB" w:eastAsia="en-US"/>
        </w:rPr>
        <w:t xml:space="preserve">For common TCI state ID update and activation to provide common QCL information </w:t>
      </w:r>
      <w:r>
        <w:rPr>
          <w:rFonts w:ascii="Times" w:hAnsi="Times" w:eastAsia="Malgun Gothic" w:cs="Times New Roman"/>
          <w:kern w:val="0"/>
          <w:sz w:val="20"/>
          <w:highlight w:val="yellow"/>
          <w:lang w:val="en-GB" w:eastAsia="ja-JP"/>
        </w:rPr>
        <w:t xml:space="preserve">at least for UE-dedicated PDCCH/PDSCH </w:t>
      </w:r>
      <w:r>
        <w:rPr>
          <w:rFonts w:ascii="Times" w:hAnsi="Times" w:eastAsia="Malgun Gothic" w:cs="Times New Roman"/>
          <w:kern w:val="0"/>
          <w:sz w:val="20"/>
          <w:highlight w:val="yellow"/>
          <w:lang w:val="en-GB" w:eastAsia="en-US"/>
        </w:rPr>
        <w:t xml:space="preserve">and/or common UL TX spatial filter(s) </w:t>
      </w:r>
      <w:r>
        <w:rPr>
          <w:rFonts w:ascii="Times" w:hAnsi="Times" w:eastAsia="Malgun Gothic" w:cs="Times New Roman"/>
          <w:kern w:val="0"/>
          <w:sz w:val="20"/>
          <w:highlight w:val="yellow"/>
          <w:lang w:val="en-GB" w:eastAsia="ja-JP"/>
        </w:rPr>
        <w:t xml:space="preserve">at least for UE-dedicated PUSCH/PUCCH </w:t>
      </w:r>
      <w:r>
        <w:rPr>
          <w:rFonts w:ascii="Times" w:hAnsi="Times" w:eastAsia="Malgun Gothic" w:cs="Times New Roman"/>
          <w:kern w:val="0"/>
          <w:sz w:val="20"/>
          <w:highlight w:val="yellow"/>
          <w:lang w:val="en-GB" w:eastAsia="en-US"/>
        </w:rPr>
        <w:t xml:space="preserve">across a set of [configured] CCs/BWPs: </w:t>
      </w:r>
    </w:p>
    <w:p>
      <w:pPr>
        <w:widowControl/>
        <w:numPr>
          <w:ilvl w:val="0"/>
          <w:numId w:val="4"/>
        </w:numPr>
        <w:snapToGrid w:val="0"/>
        <w:spacing w:after="0" w:line="240" w:lineRule="auto"/>
        <w:ind w:left="760" w:hanging="360"/>
        <w:jc w:val="both"/>
        <w:rPr>
          <w:rFonts w:ascii="Times" w:hAnsi="Times" w:eastAsia="Malgun Gothic" w:cs="Times New Roman"/>
          <w:kern w:val="0"/>
          <w:sz w:val="20"/>
          <w:highlight w:val="yellow"/>
          <w:lang w:val="en-GB" w:eastAsia="en-US"/>
        </w:rPr>
      </w:pPr>
      <w:r>
        <w:rPr>
          <w:rFonts w:ascii="Times" w:hAnsi="Times" w:eastAsia="Malgun Gothic" w:cs="Times New Roman"/>
          <w:kern w:val="0"/>
          <w:sz w:val="20"/>
          <w:highlight w:val="yellow"/>
          <w:lang w:val="en-GB" w:eastAsia="en-US"/>
        </w:rPr>
        <w:t>RRC-configured TCI state pool(s) can be configured in the PDSCH configuration (</w:t>
      </w:r>
      <w:r>
        <w:rPr>
          <w:rFonts w:ascii="Times" w:hAnsi="Times" w:eastAsia="Malgun Gothic" w:cs="Times New Roman"/>
          <w:i/>
          <w:iCs/>
          <w:kern w:val="0"/>
          <w:sz w:val="20"/>
          <w:highlight w:val="yellow"/>
          <w:lang w:val="en-GB" w:eastAsia="en-US"/>
        </w:rPr>
        <w:t>PDSCH-Config</w:t>
      </w:r>
      <w:r>
        <w:rPr>
          <w:rFonts w:ascii="Times" w:hAnsi="Times" w:eastAsia="Malgun Gothic" w:cs="Times New Roman"/>
          <w:kern w:val="0"/>
          <w:sz w:val="20"/>
          <w:highlight w:val="yellow"/>
          <w:lang w:val="en-GB" w:eastAsia="en-US"/>
        </w:rPr>
        <w:t>) for each BWP/CC as in Rel-15/16</w:t>
      </w:r>
    </w:p>
    <w:p>
      <w:pPr>
        <w:widowControl/>
        <w:numPr>
          <w:ilvl w:val="1"/>
          <w:numId w:val="5"/>
        </w:numPr>
        <w:snapToGrid w:val="0"/>
        <w:spacing w:after="0" w:line="240" w:lineRule="auto"/>
        <w:ind w:left="1470" w:hanging="360"/>
        <w:jc w:val="both"/>
        <w:rPr>
          <w:rFonts w:ascii="Times" w:hAnsi="Times" w:eastAsia="Malgun Gothic" w:cs="Times New Roman"/>
          <w:kern w:val="0"/>
          <w:sz w:val="20"/>
          <w:lang w:val="en-GB" w:eastAsia="en-US"/>
        </w:rPr>
      </w:pPr>
      <w:r>
        <w:rPr>
          <w:rFonts w:ascii="Times" w:hAnsi="Times" w:eastAsia="바탕" w:cs="Times New Roman"/>
          <w:kern w:val="0"/>
          <w:sz w:val="20"/>
          <w:lang w:val="en-GB" w:eastAsia="zh-CN"/>
        </w:rPr>
        <w:t xml:space="preserve">Note: Such </w:t>
      </w:r>
      <w:r>
        <w:rPr>
          <w:rFonts w:ascii="Times" w:hAnsi="Times" w:eastAsia="Malgun Gothic" w:cs="Times New Roman"/>
          <w:kern w:val="0"/>
          <w:sz w:val="20"/>
          <w:lang w:val="en-GB" w:eastAsia="en-US"/>
        </w:rPr>
        <w:t>RRC-configured</w:t>
      </w:r>
      <w:r>
        <w:rPr>
          <w:rFonts w:ascii="Times" w:hAnsi="Times" w:eastAsia="바탕" w:cs="Times New Roman"/>
          <w:kern w:val="0"/>
          <w:sz w:val="20"/>
          <w:lang w:val="en-GB" w:eastAsia="zh-CN"/>
        </w:rPr>
        <w:t xml:space="preserve"> TCI state pool(s) configuration doesn’t imply that separate DL/UL TCI state pool is excluded or supported</w:t>
      </w:r>
    </w:p>
    <w:p>
      <w:pPr>
        <w:widowControl/>
        <w:numPr>
          <w:ilvl w:val="0"/>
          <w:numId w:val="4"/>
        </w:numPr>
        <w:snapToGrid w:val="0"/>
        <w:spacing w:after="0" w:line="240" w:lineRule="auto"/>
        <w:ind w:left="760" w:hanging="360"/>
        <w:jc w:val="both"/>
        <w:rPr>
          <w:rFonts w:ascii="Times" w:hAnsi="Times" w:eastAsia="Malgun Gothic" w:cs="Times New Roman"/>
          <w:kern w:val="0"/>
          <w:sz w:val="20"/>
          <w:highlight w:val="yellow"/>
          <w:lang w:val="en-GB" w:eastAsia="en-US"/>
        </w:rPr>
      </w:pPr>
      <w:r>
        <w:rPr>
          <w:rFonts w:ascii="Times" w:hAnsi="Times" w:eastAsia="Malgun Gothic" w:cs="Times New Roman"/>
          <w:kern w:val="0"/>
          <w:sz w:val="20"/>
          <w:highlight w:val="yellow"/>
          <w:lang w:val="en-GB" w:eastAsia="en-US"/>
        </w:rPr>
        <w:t>RRC-configured TCI state pool(s) can be absent in the PDSCH configuration (</w:t>
      </w:r>
      <w:r>
        <w:rPr>
          <w:rFonts w:ascii="Times" w:hAnsi="Times" w:eastAsia="Malgun Gothic" w:cs="Times New Roman"/>
          <w:i/>
          <w:iCs/>
          <w:kern w:val="0"/>
          <w:sz w:val="20"/>
          <w:highlight w:val="yellow"/>
          <w:lang w:val="en-GB" w:eastAsia="en-US"/>
        </w:rPr>
        <w:t>PDSCH-Config</w:t>
      </w:r>
      <w:r>
        <w:rPr>
          <w:rFonts w:ascii="Times" w:hAnsi="Times" w:eastAsia="Malgun Gothic" w:cs="Times New Roman"/>
          <w:kern w:val="0"/>
          <w:sz w:val="20"/>
          <w:highlight w:val="yellow"/>
          <w:lang w:val="en-GB" w:eastAsia="en-US"/>
        </w:rPr>
        <w:t>) for each BWP/CC, and replaced with a reference to RRC-configured TCI state pool(s) in a reference BWP/CC</w:t>
      </w:r>
    </w:p>
    <w:p>
      <w:pPr>
        <w:widowControl/>
        <w:numPr>
          <w:ilvl w:val="1"/>
          <w:numId w:val="5"/>
        </w:numPr>
        <w:snapToGrid w:val="0"/>
        <w:spacing w:after="0" w:line="240" w:lineRule="auto"/>
        <w:ind w:left="1470" w:hanging="360"/>
        <w:jc w:val="both"/>
        <w:rPr>
          <w:rFonts w:ascii="Times" w:hAnsi="Times" w:eastAsia="Malgun Gothic" w:cs="Times New Roman"/>
          <w:kern w:val="0"/>
          <w:sz w:val="20"/>
          <w:highlight w:val="yellow"/>
          <w:lang w:val="en-GB" w:eastAsia="en-US"/>
        </w:rPr>
      </w:pPr>
      <w:r>
        <w:rPr>
          <w:rFonts w:ascii="Times" w:hAnsi="Times" w:eastAsia="Malgun Gothic" w:cs="Times New Roman"/>
          <w:kern w:val="0"/>
          <w:sz w:val="20"/>
          <w:highlight w:val="yellow"/>
          <w:lang w:val="en-GB" w:eastAsia="en-US"/>
        </w:rPr>
        <w:t>In the PDSCH configuration (</w:t>
      </w:r>
      <w:r>
        <w:rPr>
          <w:rFonts w:ascii="Times" w:hAnsi="Times" w:eastAsia="Malgun Gothic" w:cs="Times New Roman"/>
          <w:i/>
          <w:iCs/>
          <w:kern w:val="0"/>
          <w:sz w:val="20"/>
          <w:highlight w:val="yellow"/>
          <w:lang w:val="en-GB" w:eastAsia="en-US"/>
        </w:rPr>
        <w:t>PDSCH-Config</w:t>
      </w:r>
      <w:r>
        <w:rPr>
          <w:rFonts w:ascii="Times" w:hAnsi="Times" w:eastAsia="Malgun Gothic" w:cs="Times New Roman"/>
          <w:kern w:val="0"/>
          <w:sz w:val="20"/>
          <w:highlight w:val="yellow"/>
          <w:lang w:val="en-GB" w:eastAsia="en-US"/>
        </w:rPr>
        <w:t>) of the reference BWP/CC, RRC-configured TCI state pool(s) shall be configured</w:t>
      </w:r>
    </w:p>
    <w:p>
      <w:pPr>
        <w:widowControl/>
        <w:numPr>
          <w:ilvl w:val="1"/>
          <w:numId w:val="5"/>
        </w:numPr>
        <w:snapToGrid w:val="0"/>
        <w:spacing w:after="0" w:line="240" w:lineRule="auto"/>
        <w:ind w:left="1470" w:hanging="360"/>
        <w:jc w:val="both"/>
        <w:rPr>
          <w:rFonts w:ascii="Times" w:hAnsi="Times" w:eastAsia="Malgun Gothic" w:cs="Times New Roman"/>
          <w:kern w:val="0"/>
          <w:sz w:val="20"/>
          <w:highlight w:val="yellow"/>
          <w:lang w:val="en-GB" w:eastAsia="en-US"/>
        </w:rPr>
      </w:pPr>
      <w:r>
        <w:rPr>
          <w:rFonts w:ascii="Times" w:hAnsi="Times" w:eastAsia="Malgun Gothic" w:cs="Times New Roman"/>
          <w:kern w:val="0"/>
          <w:sz w:val="20"/>
          <w:highlight w:val="yellow"/>
          <w:lang w:val="en-GB" w:eastAsia="en-US"/>
        </w:rPr>
        <w:t>For a BWP/CC where the PDSCH configuration contains a reference to the RRC-configured TCI state pool(s) in a reference BWP/CC, the UE applies the RRC-configured TCI state pool(s) in the reference BWP/CC</w:t>
      </w:r>
    </w:p>
    <w:p>
      <w:pPr>
        <w:widowControl/>
        <w:numPr>
          <w:ilvl w:val="0"/>
          <w:numId w:val="4"/>
        </w:numPr>
        <w:snapToGrid w:val="0"/>
        <w:spacing w:after="0" w:line="240" w:lineRule="auto"/>
        <w:ind w:left="760" w:hanging="360"/>
        <w:jc w:val="both"/>
        <w:rPr>
          <w:rFonts w:ascii="Times" w:hAnsi="Times" w:eastAsia="Malgun Gothic" w:cs="Times New Roman"/>
          <w:kern w:val="0"/>
          <w:sz w:val="20"/>
          <w:lang w:val="en-GB" w:eastAsia="en-US"/>
        </w:rPr>
      </w:pPr>
      <w:r>
        <w:rPr>
          <w:rFonts w:ascii="Times" w:hAnsi="Times" w:eastAsia="바탕" w:cs="Times New Roman"/>
          <w:kern w:val="0"/>
          <w:sz w:val="20"/>
          <w:lang w:val="en-GB" w:eastAsia="en-US"/>
        </w:rPr>
        <w:t>When the BWP/CC ID (</w:t>
      </w:r>
      <w:r>
        <w:rPr>
          <w:rFonts w:ascii="Times" w:hAnsi="Times" w:eastAsia="바탕" w:cs="Times New Roman"/>
          <w:color w:val="FF0000"/>
          <w:kern w:val="0"/>
          <w:sz w:val="20"/>
          <w:lang w:val="en-GB" w:eastAsia="en-US"/>
        </w:rPr>
        <w:t xml:space="preserve">i.e. </w:t>
      </w:r>
      <w:r>
        <w:rPr>
          <w:rFonts w:ascii="Times" w:hAnsi="Times" w:eastAsia="바탕" w:cs="Times New Roman"/>
          <w:i/>
          <w:color w:val="FF0000"/>
          <w:kern w:val="0"/>
          <w:sz w:val="20"/>
          <w:lang w:val="en-GB" w:eastAsia="en-US"/>
        </w:rPr>
        <w:t>bwp-Id</w:t>
      </w:r>
      <w:r>
        <w:rPr>
          <w:rFonts w:ascii="Times" w:hAnsi="Times" w:eastAsia="바탕" w:cs="Times New Roman"/>
          <w:color w:val="FF0000"/>
          <w:kern w:val="0"/>
          <w:sz w:val="20"/>
          <w:lang w:val="en-GB" w:eastAsia="en-US"/>
        </w:rPr>
        <w:t xml:space="preserve"> or </w:t>
      </w:r>
      <w:r>
        <w:rPr>
          <w:rFonts w:ascii="Times" w:hAnsi="Times" w:eastAsia="바탕" w:cs="Times New Roman"/>
          <w:i/>
          <w:iCs/>
          <w:kern w:val="0"/>
          <w:sz w:val="20"/>
          <w:lang w:val="en-GB" w:eastAsia="en-US"/>
        </w:rPr>
        <w:t>cell</w:t>
      </w:r>
      <w:r>
        <w:rPr>
          <w:rFonts w:ascii="Times" w:hAnsi="Times" w:eastAsia="바탕" w:cs="Times New Roman"/>
          <w:kern w:val="0"/>
          <w:sz w:val="20"/>
          <w:lang w:val="en-GB" w:eastAsia="en-US"/>
        </w:rPr>
        <w:t>) for QCL-Type A/D source RS in a </w:t>
      </w:r>
      <w:r>
        <w:rPr>
          <w:rFonts w:ascii="Times" w:hAnsi="Times" w:eastAsia="바탕" w:cs="Times New Roman"/>
          <w:i/>
          <w:iCs/>
          <w:kern w:val="0"/>
          <w:sz w:val="20"/>
          <w:lang w:val="en-GB" w:eastAsia="en-US"/>
        </w:rPr>
        <w:t>QCL-Info</w:t>
      </w:r>
      <w:r>
        <w:rPr>
          <w:rFonts w:ascii="Times" w:hAnsi="Times" w:eastAsia="바탕" w:cs="Times New Roman"/>
          <w:kern w:val="0"/>
          <w:sz w:val="20"/>
          <w:lang w:val="en-GB" w:eastAsia="en-US"/>
        </w:rPr>
        <w:t> of the TCI state is absent, the UE assumes that QCL-Type A/D source RS is in the BWP/CC to which the TCI state applies</w:t>
      </w:r>
    </w:p>
    <w:p>
      <w:pPr>
        <w:widowControl/>
        <w:numPr>
          <w:ilvl w:val="0"/>
          <w:numId w:val="4"/>
        </w:numPr>
        <w:snapToGrid w:val="0"/>
        <w:spacing w:after="0" w:line="240" w:lineRule="auto"/>
        <w:ind w:left="760" w:hanging="360"/>
        <w:jc w:val="both"/>
        <w:rPr>
          <w:rFonts w:ascii="Times" w:hAnsi="Times" w:eastAsia="Malgun Gothic" w:cs="Times New Roman"/>
          <w:kern w:val="0"/>
          <w:sz w:val="20"/>
          <w:lang w:val="en-GB" w:eastAsia="en-US"/>
        </w:rPr>
      </w:pPr>
      <w:r>
        <w:rPr>
          <w:rFonts w:ascii="Times" w:hAnsi="Times" w:eastAsia="Malgun Gothic" w:cs="Times New Roman"/>
          <w:kern w:val="0"/>
          <w:sz w:val="20"/>
          <w:lang w:val="en-GB" w:eastAsia="en-US"/>
        </w:rPr>
        <w:t>Introduce a UE capability to report maximum number of TCI state pools it can support across BWPs and CCs in a band, and the candidate value at least includes 1</w:t>
      </w:r>
    </w:p>
    <w:p>
      <w:pPr>
        <w:widowControl/>
        <w:numPr>
          <w:ilvl w:val="0"/>
          <w:numId w:val="4"/>
        </w:numPr>
        <w:snapToGrid w:val="0"/>
        <w:spacing w:after="0" w:line="240" w:lineRule="auto"/>
        <w:ind w:left="760" w:hanging="360"/>
        <w:jc w:val="both"/>
        <w:rPr>
          <w:rFonts w:ascii="Times" w:hAnsi="Times" w:eastAsia="Malgun Gothic" w:cs="Times New Roman"/>
          <w:kern w:val="0"/>
          <w:sz w:val="20"/>
          <w:szCs w:val="20"/>
          <w:lang w:val="en-GB" w:eastAsia="en-US"/>
        </w:rPr>
      </w:pPr>
      <w:r>
        <w:rPr>
          <w:rFonts w:ascii="Times" w:hAnsi="Times" w:eastAsia="Malgun Gothic" w:cs="Times New Roman"/>
          <w:kern w:val="0"/>
          <w:sz w:val="20"/>
          <w:lang w:val="en-GB" w:eastAsia="en-US"/>
        </w:rPr>
        <w:t xml:space="preserve">FFS: Introduce a UE capability to report maximum number of configured TCI states that it can support across BWPs </w:t>
      </w:r>
      <w:r>
        <w:rPr>
          <w:rFonts w:ascii="Times" w:hAnsi="Times" w:eastAsia="Malgun Gothic" w:cs="Times New Roman"/>
          <w:kern w:val="0"/>
          <w:sz w:val="20"/>
          <w:szCs w:val="20"/>
          <w:lang w:val="en-GB" w:eastAsia="en-US"/>
        </w:rPr>
        <w:t>and CCs in a band</w:t>
      </w:r>
    </w:p>
    <w:p>
      <w:pPr>
        <w:widowControl/>
        <w:numPr>
          <w:ilvl w:val="0"/>
          <w:numId w:val="4"/>
        </w:numPr>
        <w:snapToGrid w:val="0"/>
        <w:spacing w:after="0" w:line="240" w:lineRule="auto"/>
        <w:ind w:left="760" w:hanging="360"/>
        <w:jc w:val="both"/>
        <w:rPr>
          <w:rFonts w:ascii="Times" w:hAnsi="Times" w:eastAsia="Malgun Gothic" w:cs="Times New Roman"/>
          <w:kern w:val="0"/>
          <w:sz w:val="20"/>
          <w:szCs w:val="20"/>
          <w:lang w:val="en-GB" w:eastAsia="en-US"/>
        </w:rPr>
      </w:pPr>
      <w:r>
        <w:rPr>
          <w:rFonts w:ascii="Times" w:hAnsi="Times" w:eastAsia="Malgun Gothic" w:cs="Times New Roman"/>
          <w:kern w:val="0"/>
          <w:sz w:val="20"/>
          <w:szCs w:val="20"/>
          <w:lang w:val="en-GB" w:eastAsia="en-US"/>
        </w:rPr>
        <w:t>FFS: How to define reference BWP/CC</w:t>
      </w:r>
    </w:p>
    <w:p>
      <w:pPr>
        <w:bidi w:val="0"/>
        <w:rPr>
          <w:rFonts w:hint="default"/>
          <w:lang w:val="en-US" w:eastAsia="zh-CN"/>
        </w:rPr>
      </w:pPr>
    </w:p>
    <w:p>
      <w:pPr>
        <w:bidi w:val="0"/>
        <w:rPr>
          <w:rFonts w:hint="eastAsia"/>
          <w:lang w:val="en-US" w:eastAsia="zh-CN"/>
        </w:rPr>
      </w:pPr>
      <w:r>
        <w:rPr>
          <w:rFonts w:hint="eastAsia"/>
          <w:lang w:val="en-US" w:eastAsia="zh-CN"/>
        </w:rPr>
        <w:t>From above agreements, the following information can be obtained for RAN2:</w:t>
      </w:r>
    </w:p>
    <w:p>
      <w:pPr>
        <w:numPr>
          <w:ilvl w:val="0"/>
          <w:numId w:val="6"/>
        </w:numPr>
        <w:bidi w:val="0"/>
        <w:ind w:left="420" w:leftChars="0" w:hanging="420" w:firstLineChars="0"/>
        <w:rPr>
          <w:rFonts w:hint="eastAsia"/>
          <w:lang w:val="en-US" w:eastAsia="zh-CN"/>
        </w:rPr>
      </w:pPr>
      <w:r>
        <w:rPr>
          <w:rFonts w:hint="eastAsia"/>
          <w:lang w:val="en-US" w:eastAsia="zh-CN"/>
        </w:rPr>
        <w:t>1: RRC-configured TCI state pool for both DL and UL is configure in the PDSCH configuration (</w:t>
      </w:r>
      <w:r>
        <w:rPr>
          <w:rFonts w:hint="eastAsia"/>
          <w:i/>
          <w:iCs/>
          <w:lang w:val="en-US" w:eastAsia="zh-CN"/>
        </w:rPr>
        <w:t xml:space="preserve">PDSCH-Config) </w:t>
      </w:r>
      <w:r>
        <w:rPr>
          <w:rFonts w:hint="eastAsia"/>
          <w:lang w:val="en-US" w:eastAsia="zh-CN"/>
        </w:rPr>
        <w:t>as R15/16 did.</w:t>
      </w:r>
    </w:p>
    <w:p>
      <w:pPr>
        <w:numPr>
          <w:ilvl w:val="0"/>
          <w:numId w:val="6"/>
        </w:numPr>
        <w:bidi w:val="0"/>
        <w:ind w:left="420" w:leftChars="0" w:hanging="420" w:firstLineChars="0"/>
        <w:rPr>
          <w:rFonts w:hint="eastAsia"/>
          <w:lang w:val="en-US" w:eastAsia="zh-CN"/>
        </w:rPr>
      </w:pPr>
      <w:r>
        <w:rPr>
          <w:rFonts w:hint="eastAsia"/>
          <w:lang w:val="en-US" w:eastAsia="zh-CN"/>
        </w:rPr>
        <w:t>2: The RRC-configured TCI state pool of one BWP/CC can be referred by other BWP/CC, how to implement this is still FFS in RAN1</w:t>
      </w:r>
    </w:p>
    <w:p>
      <w:pPr>
        <w:numPr>
          <w:ilvl w:val="0"/>
          <w:numId w:val="6"/>
        </w:numPr>
        <w:bidi w:val="0"/>
        <w:ind w:left="420" w:leftChars="0" w:hanging="420" w:firstLineChars="0"/>
        <w:rPr>
          <w:rFonts w:hint="eastAsia"/>
          <w:lang w:val="en-US" w:eastAsia="zh-CN"/>
        </w:rPr>
      </w:pPr>
      <w:r>
        <w:rPr>
          <w:rFonts w:hint="eastAsia"/>
          <w:lang w:val="en-US" w:eastAsia="zh-CN"/>
        </w:rPr>
        <w:t>3:UE is able to use the TCI states from the TCI state pool as QCL for UL transmission on UE dedicated PUSCH/PUCCH.</w:t>
      </w:r>
    </w:p>
    <w:p>
      <w:pPr>
        <w:numPr>
          <w:ilvl w:val="0"/>
          <w:numId w:val="6"/>
        </w:numPr>
        <w:bidi w:val="0"/>
        <w:ind w:left="420" w:leftChars="0" w:hanging="420" w:firstLineChars="0"/>
        <w:rPr>
          <w:rFonts w:hint="eastAsia"/>
          <w:lang w:val="en-US" w:eastAsia="zh-CN"/>
        </w:rPr>
      </w:pPr>
      <w:r>
        <w:rPr>
          <w:rFonts w:hint="eastAsia"/>
          <w:lang w:val="en-US" w:eastAsia="zh-CN"/>
        </w:rPr>
        <w:t xml:space="preserve">4:UE is able to use the TCI states from the TCI state pool as QCL for DL transmission on UE dedicated PDSCH/PDCCH. </w:t>
      </w:r>
    </w:p>
    <w:p>
      <w:pPr>
        <w:bidi w:val="0"/>
        <w:rPr>
          <w:rFonts w:hint="default"/>
          <w:b/>
          <w:bCs/>
          <w:i w:val="0"/>
          <w:iCs w:val="0"/>
          <w:lang w:val="en-US" w:eastAsia="zh-CN"/>
        </w:rPr>
      </w:pPr>
      <w:r>
        <w:rPr>
          <w:rFonts w:hint="eastAsia"/>
          <w:b/>
          <w:bCs/>
          <w:lang w:val="en-US" w:eastAsia="zh-CN"/>
        </w:rPr>
        <w:t xml:space="preserve">Observation 1: According to the RAN1 agreements, the TCI state lists for both UL/DL transmission on UE dedicated channels shall be configured in </w:t>
      </w:r>
      <w:r>
        <w:rPr>
          <w:rFonts w:hint="eastAsia"/>
          <w:b/>
          <w:bCs/>
          <w:i/>
          <w:iCs/>
          <w:lang w:val="en-US" w:eastAsia="zh-CN"/>
        </w:rPr>
        <w:t xml:space="preserve">PDSCH-Config </w:t>
      </w:r>
      <w:r>
        <w:rPr>
          <w:rFonts w:hint="eastAsia"/>
          <w:b/>
          <w:bCs/>
          <w:i w:val="0"/>
          <w:iCs w:val="0"/>
          <w:lang w:val="en-US" w:eastAsia="zh-CN"/>
        </w:rPr>
        <w:t xml:space="preserve">of </w:t>
      </w:r>
      <w:r>
        <w:rPr>
          <w:rFonts w:hint="eastAsia"/>
          <w:b/>
          <w:bCs/>
          <w:i/>
          <w:iCs/>
          <w:lang w:val="en-US" w:eastAsia="zh-CN"/>
        </w:rPr>
        <w:t xml:space="preserve">BWP-DownlinkDedicated, </w:t>
      </w:r>
      <w:r>
        <w:rPr>
          <w:rFonts w:hint="eastAsia"/>
          <w:b/>
          <w:bCs/>
          <w:i w:val="0"/>
          <w:iCs w:val="0"/>
          <w:lang w:val="en-US" w:eastAsia="zh-CN"/>
        </w:rPr>
        <w:t>and the TCI state lists can be a reference to the other BWP/CC.</w:t>
      </w:r>
    </w:p>
    <w:p>
      <w:pPr>
        <w:bidi w:val="0"/>
        <w:rPr>
          <w:rFonts w:hint="eastAsia"/>
          <w:b w:val="0"/>
          <w:bCs w:val="0"/>
          <w:i w:val="0"/>
          <w:iCs w:val="0"/>
          <w:lang w:val="en-US" w:eastAsia="zh-CN"/>
        </w:rPr>
      </w:pPr>
      <w:r>
        <w:rPr>
          <w:rFonts w:hint="eastAsia"/>
          <w:b w:val="0"/>
          <w:bCs w:val="0"/>
          <w:i w:val="0"/>
          <w:iCs w:val="0"/>
          <w:lang w:val="en-US" w:eastAsia="zh-CN"/>
        </w:rPr>
        <w:t xml:space="preserve">According to the observation 1, the first issue is how to implement the TCI state lists in </w:t>
      </w:r>
      <w:r>
        <w:rPr>
          <w:rFonts w:hint="eastAsia"/>
          <w:b w:val="0"/>
          <w:bCs w:val="0"/>
          <w:i/>
          <w:iCs/>
          <w:lang w:val="en-US" w:eastAsia="zh-CN"/>
        </w:rPr>
        <w:t xml:space="preserve">PDSCH-Config, </w:t>
      </w:r>
      <w:r>
        <w:rPr>
          <w:rFonts w:hint="eastAsia"/>
          <w:b w:val="0"/>
          <w:bCs w:val="0"/>
          <w:i w:val="0"/>
          <w:iCs w:val="0"/>
          <w:lang w:val="en-US" w:eastAsia="zh-CN"/>
        </w:rPr>
        <w:t>there are two alternatives on the table:</w:t>
      </w:r>
    </w:p>
    <w:p>
      <w:pPr>
        <w:numPr>
          <w:ilvl w:val="0"/>
          <w:numId w:val="6"/>
        </w:numPr>
        <w:bidi w:val="0"/>
        <w:ind w:left="420" w:leftChars="0" w:hanging="420" w:firstLineChars="0"/>
        <w:rPr>
          <w:rFonts w:hint="eastAsia"/>
          <w:b w:val="0"/>
          <w:bCs w:val="0"/>
          <w:i w:val="0"/>
          <w:iCs w:val="0"/>
          <w:lang w:val="en-US" w:eastAsia="zh-CN"/>
        </w:rPr>
      </w:pPr>
      <w:r>
        <w:rPr>
          <w:rFonts w:hint="eastAsia"/>
          <w:b w:val="0"/>
          <w:bCs w:val="0"/>
          <w:i w:val="0"/>
          <w:iCs w:val="0"/>
          <w:lang w:val="en-US" w:eastAsia="zh-CN"/>
        </w:rPr>
        <w:t>1: Configure a common list for all TCI states of DL/UL/Joint</w:t>
      </w:r>
    </w:p>
    <w:p>
      <w:pPr>
        <w:numPr>
          <w:ilvl w:val="0"/>
          <w:numId w:val="6"/>
        </w:numPr>
        <w:bidi w:val="0"/>
        <w:ind w:left="420" w:leftChars="0" w:hanging="420" w:firstLineChars="0"/>
        <w:rPr>
          <w:rFonts w:hint="default"/>
          <w:b w:val="0"/>
          <w:bCs w:val="0"/>
          <w:i w:val="0"/>
          <w:iCs w:val="0"/>
          <w:lang w:val="en-US" w:eastAsia="zh-CN"/>
        </w:rPr>
      </w:pPr>
      <w:r>
        <w:rPr>
          <w:rFonts w:hint="eastAsia"/>
          <w:b w:val="0"/>
          <w:bCs w:val="0"/>
          <w:i w:val="0"/>
          <w:iCs w:val="0"/>
          <w:lang w:val="en-US" w:eastAsia="zh-CN"/>
        </w:rPr>
        <w:t>2: Configure two separate lists for UL TCI states and DL/Joint TCI states</w:t>
      </w:r>
    </w:p>
    <w:p>
      <w:pPr>
        <w:widowControl w:val="0"/>
        <w:numPr>
          <w:ilvl w:val="0"/>
          <w:numId w:val="0"/>
        </w:numPr>
        <w:bidi w:val="0"/>
        <w:spacing w:after="160" w:line="259" w:lineRule="auto"/>
        <w:jc w:val="both"/>
        <w:rPr>
          <w:rFonts w:hint="eastAsia"/>
          <w:b w:val="0"/>
          <w:bCs w:val="0"/>
          <w:i w:val="0"/>
          <w:iCs w:val="0"/>
          <w:lang w:val="en-US" w:eastAsia="zh-CN"/>
        </w:rPr>
      </w:pPr>
      <w:r>
        <w:rPr>
          <w:rFonts w:hint="eastAsia"/>
          <w:b w:val="0"/>
          <w:bCs w:val="0"/>
          <w:i w:val="0"/>
          <w:iCs w:val="0"/>
          <w:lang w:val="en-US" w:eastAsia="zh-CN"/>
        </w:rPr>
        <w:t>Both alternatives can literally work, the main difference between two alternatives is how many lists shall be maintained by UE ,we need to go a little further if we would like to identify the better one between them.</w:t>
      </w:r>
    </w:p>
    <w:p>
      <w:pPr>
        <w:widowControl w:val="0"/>
        <w:numPr>
          <w:ilvl w:val="0"/>
          <w:numId w:val="0"/>
        </w:numPr>
        <w:bidi w:val="0"/>
        <w:spacing w:after="160" w:line="259" w:lineRule="auto"/>
        <w:jc w:val="both"/>
        <w:rPr>
          <w:rFonts w:hint="eastAsia"/>
          <w:b w:val="0"/>
          <w:bCs w:val="0"/>
          <w:i w:val="0"/>
          <w:iCs w:val="0"/>
          <w:lang w:val="en-US" w:eastAsia="zh-CN"/>
        </w:rPr>
      </w:pPr>
      <w:r>
        <w:rPr>
          <w:rFonts w:hint="eastAsia"/>
          <w:b w:val="0"/>
          <w:bCs w:val="0"/>
          <w:i w:val="0"/>
          <w:iCs w:val="0"/>
          <w:lang w:val="en-US" w:eastAsia="zh-CN"/>
        </w:rPr>
        <w:t xml:space="preserve">The first condition to determine which one is better is the RRC implementation complex and time consumption for further discussion. If we go for the separate lists, there maybe some further issues left, for example , if unified TCI states are absent in </w:t>
      </w:r>
      <w:r>
        <w:rPr>
          <w:rFonts w:hint="eastAsia"/>
          <w:b w:val="0"/>
          <w:bCs w:val="0"/>
          <w:i/>
          <w:iCs/>
          <w:lang w:val="en-US" w:eastAsia="zh-CN"/>
        </w:rPr>
        <w:t xml:space="preserve">PDSCH-Config </w:t>
      </w:r>
      <w:r>
        <w:rPr>
          <w:rFonts w:hint="eastAsia"/>
          <w:b w:val="0"/>
          <w:bCs w:val="0"/>
          <w:i w:val="0"/>
          <w:iCs w:val="0"/>
          <w:lang w:val="en-US" w:eastAsia="zh-CN"/>
        </w:rPr>
        <w:t>in one BWP, it will be replaced with a reference of unified TCI states pool from other BWP, in this case, if there are separate TCI state lists in one BWP, whether the reference BWPs can be different BWPs, i.e one reference BWP containing DL/Joint TCI state list, the other one reference BWP containing UL TCI state list?  It may spend more time to discuss than just using one common list.</w:t>
      </w:r>
    </w:p>
    <w:p>
      <w:pPr>
        <w:widowControl w:val="0"/>
        <w:numPr>
          <w:ilvl w:val="0"/>
          <w:numId w:val="0"/>
        </w:numPr>
        <w:bidi w:val="0"/>
        <w:spacing w:after="160" w:line="259" w:lineRule="auto"/>
        <w:jc w:val="both"/>
        <w:rPr>
          <w:rFonts w:hint="default"/>
          <w:b w:val="0"/>
          <w:bCs w:val="0"/>
          <w:i w:val="0"/>
          <w:iCs w:val="0"/>
          <w:lang w:val="en-US" w:eastAsia="zh-CN"/>
        </w:rPr>
      </w:pPr>
      <w:r>
        <w:rPr>
          <w:rFonts w:hint="eastAsia"/>
          <w:b/>
          <w:bCs/>
          <w:i w:val="0"/>
          <w:iCs w:val="0"/>
          <w:lang w:val="en-US" w:eastAsia="zh-CN"/>
        </w:rPr>
        <w:t xml:space="preserve">Observation 2: In the case of a DL BWP not configured with any unified TCI state list, Separate List for TCI states (i.e UL list , DL/joint List) may cause an extra issue, that is, for one BWP/CC not configured with unified TCI state list, whether can be replaced with a reference of UL list from one BPW/CC and DL/Joint List from another BWP/CC. This issue cannot be resolved by RAN2 solely, and shall be confirmed by RAN1. </w:t>
      </w:r>
    </w:p>
    <w:p>
      <w:pPr>
        <w:widowControl w:val="0"/>
        <w:numPr>
          <w:ilvl w:val="0"/>
          <w:numId w:val="0"/>
        </w:numPr>
        <w:bidi w:val="0"/>
        <w:spacing w:after="160" w:line="259" w:lineRule="auto"/>
        <w:jc w:val="both"/>
        <w:rPr>
          <w:rFonts w:hint="default"/>
          <w:b w:val="0"/>
          <w:bCs w:val="0"/>
          <w:i w:val="0"/>
          <w:iCs w:val="0"/>
          <w:lang w:val="en-US" w:eastAsia="zh-CN"/>
        </w:rPr>
      </w:pPr>
      <w:r>
        <w:rPr>
          <w:rFonts w:hint="eastAsia"/>
          <w:b w:val="0"/>
          <w:bCs w:val="0"/>
          <w:i w:val="0"/>
          <w:iCs w:val="0"/>
          <w:lang w:val="en-US" w:eastAsia="zh-CN"/>
        </w:rPr>
        <w:t>the second consideration to determine which one is better for unified TCI state MAC CE design under different list structure (i.e common list or separate list)</w:t>
      </w:r>
    </w:p>
    <w:p>
      <w:pPr>
        <w:widowControl w:val="0"/>
        <w:numPr>
          <w:ilvl w:val="0"/>
          <w:numId w:val="0"/>
        </w:numPr>
        <w:bidi w:val="0"/>
        <w:spacing w:after="160" w:line="259" w:lineRule="auto"/>
        <w:jc w:val="both"/>
        <w:rPr>
          <w:rFonts w:hint="eastAsia"/>
          <w:b/>
          <w:bCs/>
          <w:i w:val="0"/>
          <w:iCs w:val="0"/>
          <w:u w:val="single"/>
          <w:lang w:val="en-US" w:eastAsia="zh-CN"/>
        </w:rPr>
      </w:pPr>
      <w:r>
        <w:rPr>
          <w:rFonts w:hint="eastAsia"/>
          <w:b/>
          <w:bCs/>
          <w:i w:val="0"/>
          <w:iCs w:val="0"/>
          <w:u w:val="single"/>
          <w:lang w:val="en-US" w:eastAsia="zh-CN"/>
        </w:rPr>
        <w:t>If the common list is used:</w:t>
      </w:r>
    </w:p>
    <w:p>
      <w:pPr>
        <w:widowControl w:val="0"/>
        <w:numPr>
          <w:ilvl w:val="0"/>
          <w:numId w:val="0"/>
        </w:numPr>
        <w:bidi w:val="0"/>
        <w:spacing w:after="160" w:line="259" w:lineRule="auto"/>
        <w:jc w:val="center"/>
        <w:rPr>
          <w:rFonts w:hint="default"/>
          <w:b w:val="0"/>
          <w:bCs w:val="0"/>
          <w:i w:val="0"/>
          <w:iCs w:val="0"/>
          <w:lang w:val="en-US" w:eastAsia="zh-CN"/>
        </w:rPr>
      </w:pPr>
      <w:r>
        <w:rPr>
          <w:rFonts w:hint="default"/>
          <w:b w:val="0"/>
          <w:bCs w:val="0"/>
          <w:i w:val="0"/>
          <w:iCs w:val="0"/>
          <w:lang w:val="en-US" w:eastAsia="zh-CN"/>
        </w:rPr>
        <w:object>
          <v:shape id="_x0000_i1025" o:spt="75" type="#_x0000_t75" style="height:383.4pt;width:345pt;" o:ole="t" filled="f" o:preferrelative="t" stroked="f" coordsize="21600,21600">
            <v:path/>
            <v:fill on="f" focussize="0,0"/>
            <v:stroke on="f"/>
            <v:imagedata r:id="rId8" o:title=""/>
            <o:lock v:ext="edit" aspectratio="f"/>
            <w10:wrap type="none"/>
            <w10:anchorlock/>
          </v:shape>
          <o:OLEObject Type="Embed" ProgID="Visio.Drawing.11" ShapeID="_x0000_i1025" DrawAspect="Content" ObjectID="_1468075725" r:id="rId7">
            <o:LockedField>false</o:LockedField>
          </o:OLEObject>
        </w:object>
      </w:r>
    </w:p>
    <w:p>
      <w:pPr>
        <w:widowControl w:val="0"/>
        <w:numPr>
          <w:ilvl w:val="0"/>
          <w:numId w:val="0"/>
        </w:numPr>
        <w:bidi w:val="0"/>
        <w:spacing w:after="160" w:line="259" w:lineRule="auto"/>
        <w:jc w:val="center"/>
        <w:rPr>
          <w:rFonts w:hint="default"/>
          <w:b w:val="0"/>
          <w:bCs w:val="0"/>
          <w:i w:val="0"/>
          <w:iCs w:val="0"/>
          <w:sz w:val="21"/>
          <w:szCs w:val="21"/>
          <w:lang w:val="en-US" w:eastAsia="zh-CN"/>
        </w:rPr>
      </w:pPr>
      <w:r>
        <w:rPr>
          <w:rFonts w:hint="eastAsia"/>
          <w:b w:val="0"/>
          <w:bCs w:val="0"/>
          <w:i w:val="0"/>
          <w:iCs w:val="0"/>
          <w:sz w:val="21"/>
          <w:szCs w:val="21"/>
          <w:lang w:val="en-US" w:eastAsia="zh-CN"/>
        </w:rPr>
        <w:t xml:space="preserve">Fig 1: The illustration of activation/deactivation of TCI state MAC CE structure based on the common list </w:t>
      </w:r>
    </w:p>
    <w:p>
      <w:pPr>
        <w:bidi w:val="0"/>
        <w:rPr>
          <w:rFonts w:hint="eastAsia"/>
          <w:b w:val="0"/>
          <w:bCs w:val="0"/>
          <w:i w:val="0"/>
          <w:iCs w:val="0"/>
          <w:lang w:val="en-US" w:eastAsia="zh-CN"/>
        </w:rPr>
      </w:pPr>
      <w:r>
        <w:rPr>
          <w:rFonts w:hint="eastAsia"/>
          <w:b w:val="0"/>
          <w:bCs w:val="0"/>
          <w:i w:val="0"/>
          <w:iCs w:val="0"/>
          <w:lang w:val="en-US" w:eastAsia="zh-CN"/>
        </w:rPr>
        <w:t>In the MAC CE structure based on the common list:</w:t>
      </w:r>
    </w:p>
    <w:p>
      <w:pPr>
        <w:numPr>
          <w:ilvl w:val="0"/>
          <w:numId w:val="6"/>
        </w:numPr>
        <w:bidi w:val="0"/>
        <w:ind w:left="420" w:leftChars="0" w:hanging="420" w:firstLineChars="0"/>
        <w:rPr>
          <w:rFonts w:hint="eastAsia"/>
          <w:b w:val="0"/>
          <w:bCs w:val="0"/>
          <w:i w:val="0"/>
          <w:iCs w:val="0"/>
          <w:lang w:val="en-US" w:eastAsia="zh-CN"/>
        </w:rPr>
      </w:pPr>
      <w:r>
        <w:rPr>
          <w:rFonts w:hint="eastAsia"/>
          <w:b w:val="0"/>
          <w:bCs w:val="0"/>
          <w:i w:val="0"/>
          <w:iCs w:val="0"/>
          <w:lang w:val="en-US" w:eastAsia="zh-CN"/>
        </w:rPr>
        <w:t>TCI State ID</w:t>
      </w:r>
      <w:r>
        <w:rPr>
          <w:rFonts w:hint="eastAsia"/>
          <w:b w:val="0"/>
          <w:bCs w:val="0"/>
          <w:i/>
          <w:iCs/>
          <w:sz w:val="20"/>
          <w:szCs w:val="20"/>
          <w:lang w:val="en-US" w:eastAsia="zh-CN"/>
        </w:rPr>
        <w:t>i,y</w:t>
      </w:r>
      <w:r>
        <w:rPr>
          <w:rFonts w:hint="eastAsia"/>
          <w:b w:val="0"/>
          <w:bCs w:val="0"/>
          <w:i w:val="0"/>
          <w:iCs w:val="0"/>
          <w:lang w:val="en-US" w:eastAsia="zh-CN"/>
        </w:rPr>
        <w:t>: Indicate the activated TCI state in the unified TCI state list. TCI State ID</w:t>
      </w:r>
      <w:r>
        <w:rPr>
          <w:rFonts w:hint="eastAsia"/>
          <w:b w:val="0"/>
          <w:bCs w:val="0"/>
          <w:i/>
          <w:iCs/>
          <w:sz w:val="20"/>
          <w:szCs w:val="20"/>
          <w:lang w:val="en-US" w:eastAsia="zh-CN"/>
        </w:rPr>
        <w:t>i,y</w:t>
      </w:r>
      <w:r>
        <w:rPr>
          <w:rFonts w:hint="eastAsia"/>
          <w:b w:val="0"/>
          <w:bCs w:val="0"/>
          <w:i w:val="0"/>
          <w:iCs w:val="0"/>
          <w:lang w:val="en-US" w:eastAsia="zh-CN"/>
        </w:rPr>
        <w:t xml:space="preserve"> is the </w:t>
      </w:r>
      <w:r>
        <w:rPr>
          <w:rFonts w:hint="eastAsia"/>
          <w:b w:val="0"/>
          <w:bCs w:val="0"/>
          <w:i/>
          <w:iCs/>
          <w:lang w:val="en-US" w:eastAsia="zh-CN"/>
        </w:rPr>
        <w:t xml:space="preserve">y-th </w:t>
      </w:r>
      <w:r>
        <w:rPr>
          <w:rFonts w:hint="eastAsia"/>
          <w:b w:val="0"/>
          <w:bCs w:val="0"/>
          <w:i w:val="0"/>
          <w:iCs w:val="0"/>
          <w:lang w:val="en-US" w:eastAsia="zh-CN"/>
        </w:rPr>
        <w:t xml:space="preserve">TCI state associated with the codepoint value </w:t>
      </w:r>
      <w:r>
        <w:rPr>
          <w:rFonts w:hint="eastAsia"/>
          <w:b w:val="0"/>
          <w:bCs w:val="0"/>
          <w:i/>
          <w:iCs/>
          <w:lang w:val="en-US" w:eastAsia="zh-CN"/>
        </w:rPr>
        <w:t>i</w:t>
      </w:r>
      <w:r>
        <w:rPr>
          <w:rFonts w:hint="eastAsia"/>
          <w:b w:val="0"/>
          <w:bCs w:val="0"/>
          <w:i w:val="0"/>
          <w:iCs w:val="0"/>
          <w:lang w:val="en-US" w:eastAsia="zh-CN"/>
        </w:rPr>
        <w:t xml:space="preserve"> </w:t>
      </w:r>
      <w:r>
        <w:rPr>
          <w:rFonts w:hint="eastAsia"/>
          <w:b w:val="0"/>
          <w:bCs w:val="0"/>
          <w:i/>
          <w:iCs/>
          <w:lang w:val="en-US" w:eastAsia="zh-CN"/>
        </w:rPr>
        <w:t xml:space="preserve">, </w:t>
      </w:r>
      <w:r>
        <w:rPr>
          <w:rFonts w:hint="eastAsia"/>
          <w:b w:val="0"/>
          <w:bCs w:val="0"/>
          <w:i w:val="0"/>
          <w:iCs w:val="0"/>
          <w:lang w:val="en-US" w:eastAsia="zh-CN"/>
        </w:rPr>
        <w:t>if T</w:t>
      </w:r>
      <w:r>
        <w:rPr>
          <w:rFonts w:hint="eastAsia"/>
          <w:b w:val="0"/>
          <w:bCs w:val="0"/>
          <w:i/>
          <w:iCs/>
          <w:lang w:val="en-US" w:eastAsia="zh-CN"/>
        </w:rPr>
        <w:t xml:space="preserve">i </w:t>
      </w:r>
      <w:r>
        <w:rPr>
          <w:rFonts w:hint="eastAsia"/>
          <w:b w:val="0"/>
          <w:bCs w:val="0"/>
          <w:i w:val="0"/>
          <w:iCs w:val="0"/>
          <w:lang w:val="en-US" w:eastAsia="zh-CN"/>
        </w:rPr>
        <w:t xml:space="preserve">is set to 1, the maximum value of </w:t>
      </w:r>
      <w:r>
        <w:rPr>
          <w:rFonts w:hint="eastAsia"/>
          <w:b w:val="0"/>
          <w:bCs w:val="0"/>
          <w:i/>
          <w:iCs/>
          <w:lang w:val="en-US" w:eastAsia="zh-CN"/>
        </w:rPr>
        <w:t xml:space="preserve">y </w:t>
      </w:r>
      <w:r>
        <w:rPr>
          <w:rFonts w:hint="eastAsia"/>
          <w:b w:val="0"/>
          <w:bCs w:val="0"/>
          <w:i w:val="0"/>
          <w:iCs w:val="0"/>
          <w:lang w:val="en-US" w:eastAsia="zh-CN"/>
        </w:rPr>
        <w:t xml:space="preserve">is 1, otherwise the maximum value of </w:t>
      </w:r>
      <w:r>
        <w:rPr>
          <w:rFonts w:hint="eastAsia"/>
          <w:b w:val="0"/>
          <w:bCs w:val="0"/>
          <w:i/>
          <w:iCs/>
          <w:lang w:val="en-US" w:eastAsia="zh-CN"/>
        </w:rPr>
        <w:t>y</w:t>
      </w:r>
      <w:r>
        <w:rPr>
          <w:rFonts w:hint="eastAsia"/>
          <w:b w:val="0"/>
          <w:bCs w:val="0"/>
          <w:i w:val="0"/>
          <w:iCs w:val="0"/>
          <w:lang w:val="en-US" w:eastAsia="zh-CN"/>
        </w:rPr>
        <w:t xml:space="preserve"> is 0</w:t>
      </w:r>
    </w:p>
    <w:p>
      <w:pPr>
        <w:numPr>
          <w:ilvl w:val="0"/>
          <w:numId w:val="6"/>
        </w:numPr>
        <w:bidi w:val="0"/>
        <w:ind w:left="420" w:leftChars="0" w:hanging="420" w:firstLineChars="0"/>
        <w:rPr>
          <w:rFonts w:hint="default"/>
          <w:b w:val="0"/>
          <w:bCs w:val="0"/>
          <w:i w:val="0"/>
          <w:iCs w:val="0"/>
          <w:lang w:val="en-US" w:eastAsia="zh-CN"/>
        </w:rPr>
      </w:pPr>
      <w:r>
        <w:rPr>
          <w:rFonts w:hint="eastAsia"/>
          <w:b w:val="0"/>
          <w:bCs w:val="0"/>
          <w:i w:val="0"/>
          <w:iCs w:val="0"/>
          <w:lang w:val="en-US" w:eastAsia="zh-CN"/>
        </w:rPr>
        <w:t xml:space="preserve">Ti field: Indicate how many TCI states are present for codepoint value </w:t>
      </w:r>
      <w:r>
        <w:rPr>
          <w:rFonts w:hint="eastAsia"/>
          <w:b w:val="0"/>
          <w:bCs w:val="0"/>
          <w:i/>
          <w:iCs/>
          <w:lang w:val="en-US" w:eastAsia="zh-CN"/>
        </w:rPr>
        <w:t xml:space="preserve">i , </w:t>
      </w:r>
      <w:r>
        <w:rPr>
          <w:rFonts w:hint="eastAsia"/>
          <w:b w:val="0"/>
          <w:bCs w:val="0"/>
          <w:i w:val="0"/>
          <w:iCs w:val="0"/>
          <w:lang w:val="en-US" w:eastAsia="zh-CN"/>
        </w:rPr>
        <w:t>TCI state pair is present if Ti is set to 1, otherwise, only one TCI state is present.</w:t>
      </w:r>
    </w:p>
    <w:p>
      <w:pPr>
        <w:bidi w:val="0"/>
        <w:rPr>
          <w:rFonts w:hint="eastAsia"/>
          <w:b w:val="0"/>
          <w:bCs w:val="0"/>
          <w:i w:val="0"/>
          <w:iCs w:val="0"/>
          <w:lang w:val="en-US" w:eastAsia="zh-CN"/>
        </w:rPr>
      </w:pPr>
      <w:r>
        <w:rPr>
          <w:rFonts w:hint="eastAsia"/>
          <w:b w:val="0"/>
          <w:bCs w:val="0"/>
          <w:i w:val="0"/>
          <w:iCs w:val="0"/>
          <w:lang w:val="en-US" w:eastAsia="zh-CN"/>
        </w:rPr>
        <w:t>Hence according to above assumed MAC CE structure, the activation/deactivation of unified TCI state MAC CE would consume at most 18 octets for separate TCI stats and 10 octets for joint TCI state.</w:t>
      </w:r>
    </w:p>
    <w:p>
      <w:pPr>
        <w:bidi w:val="0"/>
        <w:rPr>
          <w:rFonts w:hint="eastAsia"/>
          <w:b/>
          <w:bCs/>
          <w:i w:val="0"/>
          <w:iCs w:val="0"/>
          <w:u w:val="single"/>
          <w:lang w:val="en-US" w:eastAsia="zh-CN"/>
        </w:rPr>
      </w:pPr>
      <w:r>
        <w:rPr>
          <w:rFonts w:hint="eastAsia"/>
          <w:b/>
          <w:bCs/>
          <w:i w:val="0"/>
          <w:iCs w:val="0"/>
          <w:u w:val="single"/>
          <w:lang w:val="en-US" w:eastAsia="zh-CN"/>
        </w:rPr>
        <w:t>If the separate lists are adopted:</w:t>
      </w:r>
    </w:p>
    <w:p>
      <w:pPr>
        <w:bidi w:val="0"/>
        <w:jc w:val="center"/>
        <w:rPr>
          <w:rFonts w:hint="default"/>
          <w:b w:val="0"/>
          <w:bCs w:val="0"/>
          <w:i w:val="0"/>
          <w:iCs w:val="0"/>
          <w:lang w:val="en-US" w:eastAsia="zh-CN"/>
        </w:rPr>
      </w:pPr>
      <w:r>
        <w:rPr>
          <w:rFonts w:hint="default"/>
          <w:b w:val="0"/>
          <w:bCs w:val="0"/>
          <w:i w:val="0"/>
          <w:iCs w:val="0"/>
          <w:lang w:val="en-US" w:eastAsia="zh-CN"/>
        </w:rPr>
        <w:object>
          <v:shape id="_x0000_i1026" o:spt="75" type="#_x0000_t75" style="height:365.4pt;width:345pt;" o:ole="t" filled="f" o:preferrelative="t" stroked="f" coordsize="21600,21600">
            <v:path/>
            <v:fill on="f" focussize="0,0"/>
            <v:stroke on="f"/>
            <v:imagedata r:id="rId10" o:title=""/>
            <o:lock v:ext="edit" aspectratio="f"/>
            <w10:wrap type="none"/>
            <w10:anchorlock/>
          </v:shape>
          <o:OLEObject Type="Embed" ProgID="Visio.Drawing.11" ShapeID="_x0000_i1026" DrawAspect="Content" ObjectID="_1468075726" r:id="rId9">
            <o:LockedField>false</o:LockedField>
          </o:OLEObject>
        </w:object>
      </w:r>
    </w:p>
    <w:p>
      <w:pPr>
        <w:bidi w:val="0"/>
        <w:jc w:val="center"/>
        <w:rPr>
          <w:rFonts w:hint="default"/>
          <w:b w:val="0"/>
          <w:bCs w:val="0"/>
          <w:i w:val="0"/>
          <w:iCs w:val="0"/>
          <w:sz w:val="22"/>
          <w:szCs w:val="22"/>
          <w:lang w:val="en-US" w:eastAsia="zh-CN"/>
        </w:rPr>
      </w:pPr>
      <w:r>
        <w:rPr>
          <w:rFonts w:hint="eastAsia"/>
          <w:b w:val="0"/>
          <w:bCs w:val="0"/>
          <w:i w:val="0"/>
          <w:iCs w:val="0"/>
          <w:sz w:val="22"/>
          <w:szCs w:val="22"/>
          <w:lang w:val="en-US" w:eastAsia="zh-CN"/>
        </w:rPr>
        <w:t>Fig 2: The illustration of unified TCI state MAC CE under the assumption of separate TCI lists</w:t>
      </w:r>
    </w:p>
    <w:p>
      <w:pPr>
        <w:numPr>
          <w:ilvl w:val="0"/>
          <w:numId w:val="0"/>
        </w:numPr>
        <w:bidi w:val="0"/>
        <w:ind w:leftChars="0"/>
        <w:rPr>
          <w:rFonts w:hint="eastAsia"/>
          <w:b w:val="0"/>
          <w:bCs w:val="0"/>
          <w:i w:val="0"/>
          <w:iCs w:val="0"/>
          <w:lang w:val="en-US" w:eastAsia="zh-CN"/>
        </w:rPr>
      </w:pPr>
      <w:r>
        <w:rPr>
          <w:rFonts w:hint="eastAsia"/>
          <w:b w:val="0"/>
          <w:bCs w:val="0"/>
          <w:i w:val="0"/>
          <w:iCs w:val="0"/>
          <w:lang w:val="en-US" w:eastAsia="zh-CN"/>
        </w:rPr>
        <w:t>In the MAC CE structure based on the separate lists:</w:t>
      </w:r>
    </w:p>
    <w:p>
      <w:pPr>
        <w:numPr>
          <w:ilvl w:val="0"/>
          <w:numId w:val="6"/>
        </w:numPr>
        <w:bidi w:val="0"/>
        <w:ind w:left="420" w:leftChars="0" w:hanging="420" w:firstLineChars="0"/>
        <w:rPr>
          <w:rFonts w:hint="eastAsia"/>
          <w:b w:val="0"/>
          <w:bCs w:val="0"/>
          <w:i w:val="0"/>
          <w:iCs w:val="0"/>
          <w:lang w:val="en-US" w:eastAsia="zh-CN"/>
        </w:rPr>
      </w:pPr>
      <w:r>
        <w:rPr>
          <w:rFonts w:hint="eastAsia"/>
          <w:b w:val="0"/>
          <w:bCs w:val="0"/>
          <w:i w:val="0"/>
          <w:iCs w:val="0"/>
          <w:lang w:val="en-US" w:eastAsia="zh-CN"/>
        </w:rPr>
        <w:t>TCI State ID</w:t>
      </w:r>
      <w:r>
        <w:rPr>
          <w:rFonts w:hint="eastAsia"/>
          <w:b w:val="0"/>
          <w:bCs w:val="0"/>
          <w:i/>
          <w:iCs/>
          <w:sz w:val="20"/>
          <w:szCs w:val="20"/>
          <w:lang w:val="en-US" w:eastAsia="zh-CN"/>
        </w:rPr>
        <w:t>i,y</w:t>
      </w:r>
      <w:r>
        <w:rPr>
          <w:rFonts w:hint="eastAsia"/>
          <w:b w:val="0"/>
          <w:bCs w:val="0"/>
          <w:i w:val="0"/>
          <w:iCs w:val="0"/>
          <w:lang w:val="en-US" w:eastAsia="zh-CN"/>
        </w:rPr>
        <w:t>: Indicate the activated TCI state in the unified TCI state list. TCI State ID</w:t>
      </w:r>
      <w:r>
        <w:rPr>
          <w:rFonts w:hint="eastAsia"/>
          <w:b w:val="0"/>
          <w:bCs w:val="0"/>
          <w:i/>
          <w:iCs/>
          <w:sz w:val="20"/>
          <w:szCs w:val="20"/>
          <w:lang w:val="en-US" w:eastAsia="zh-CN"/>
        </w:rPr>
        <w:t>i,y</w:t>
      </w:r>
      <w:r>
        <w:rPr>
          <w:rFonts w:hint="eastAsia"/>
          <w:b w:val="0"/>
          <w:bCs w:val="0"/>
          <w:i w:val="0"/>
          <w:iCs w:val="0"/>
          <w:lang w:val="en-US" w:eastAsia="zh-CN"/>
        </w:rPr>
        <w:t xml:space="preserve"> is the </w:t>
      </w:r>
      <w:r>
        <w:rPr>
          <w:rFonts w:hint="eastAsia"/>
          <w:b w:val="0"/>
          <w:bCs w:val="0"/>
          <w:i/>
          <w:iCs/>
          <w:lang w:val="en-US" w:eastAsia="zh-CN"/>
        </w:rPr>
        <w:t xml:space="preserve">y-th </w:t>
      </w:r>
      <w:r>
        <w:rPr>
          <w:rFonts w:hint="eastAsia"/>
          <w:b w:val="0"/>
          <w:bCs w:val="0"/>
          <w:i w:val="0"/>
          <w:iCs w:val="0"/>
          <w:lang w:val="en-US" w:eastAsia="zh-CN"/>
        </w:rPr>
        <w:t xml:space="preserve">TCI state associated with the codepoint value </w:t>
      </w:r>
      <w:r>
        <w:rPr>
          <w:rFonts w:hint="eastAsia"/>
          <w:b w:val="0"/>
          <w:bCs w:val="0"/>
          <w:i/>
          <w:iCs/>
          <w:lang w:val="en-US" w:eastAsia="zh-CN"/>
        </w:rPr>
        <w:t>i</w:t>
      </w:r>
      <w:r>
        <w:rPr>
          <w:rFonts w:hint="eastAsia"/>
          <w:b w:val="0"/>
          <w:bCs w:val="0"/>
          <w:i w:val="0"/>
          <w:iCs w:val="0"/>
          <w:lang w:val="en-US" w:eastAsia="zh-CN"/>
        </w:rPr>
        <w:t xml:space="preserve"> </w:t>
      </w:r>
      <w:r>
        <w:rPr>
          <w:rFonts w:hint="eastAsia"/>
          <w:b w:val="0"/>
          <w:bCs w:val="0"/>
          <w:i/>
          <w:iCs/>
          <w:lang w:val="en-US" w:eastAsia="zh-CN"/>
        </w:rPr>
        <w:t xml:space="preserve">, </w:t>
      </w:r>
      <w:r>
        <w:rPr>
          <w:rFonts w:hint="eastAsia"/>
          <w:b w:val="0"/>
          <w:bCs w:val="0"/>
          <w:i w:val="0"/>
          <w:iCs w:val="0"/>
          <w:lang w:val="en-US" w:eastAsia="zh-CN"/>
        </w:rPr>
        <w:t>if T</w:t>
      </w:r>
      <w:r>
        <w:rPr>
          <w:rFonts w:hint="eastAsia"/>
          <w:b w:val="0"/>
          <w:bCs w:val="0"/>
          <w:i/>
          <w:iCs/>
          <w:lang w:val="en-US" w:eastAsia="zh-CN"/>
        </w:rPr>
        <w:t xml:space="preserve">i </w:t>
      </w:r>
      <w:r>
        <w:rPr>
          <w:rFonts w:hint="eastAsia"/>
          <w:b w:val="0"/>
          <w:bCs w:val="0"/>
          <w:i w:val="0"/>
          <w:iCs w:val="0"/>
          <w:lang w:val="en-US" w:eastAsia="zh-CN"/>
        </w:rPr>
        <w:t xml:space="preserve">is set to 1, the maximum value of </w:t>
      </w:r>
      <w:r>
        <w:rPr>
          <w:rFonts w:hint="eastAsia"/>
          <w:b w:val="0"/>
          <w:bCs w:val="0"/>
          <w:i/>
          <w:iCs/>
          <w:lang w:val="en-US" w:eastAsia="zh-CN"/>
        </w:rPr>
        <w:t xml:space="preserve">y </w:t>
      </w:r>
      <w:r>
        <w:rPr>
          <w:rFonts w:hint="eastAsia"/>
          <w:b w:val="0"/>
          <w:bCs w:val="0"/>
          <w:i w:val="0"/>
          <w:iCs w:val="0"/>
          <w:lang w:val="en-US" w:eastAsia="zh-CN"/>
        </w:rPr>
        <w:t xml:space="preserve">is 1, otherwise the maximum value of </w:t>
      </w:r>
      <w:r>
        <w:rPr>
          <w:rFonts w:hint="eastAsia"/>
          <w:b w:val="0"/>
          <w:bCs w:val="0"/>
          <w:i/>
          <w:iCs/>
          <w:lang w:val="en-US" w:eastAsia="zh-CN"/>
        </w:rPr>
        <w:t>y</w:t>
      </w:r>
      <w:r>
        <w:rPr>
          <w:rFonts w:hint="eastAsia"/>
          <w:b w:val="0"/>
          <w:bCs w:val="0"/>
          <w:i w:val="0"/>
          <w:iCs w:val="0"/>
          <w:lang w:val="en-US" w:eastAsia="zh-CN"/>
        </w:rPr>
        <w:t xml:space="preserve"> is 0</w:t>
      </w:r>
    </w:p>
    <w:p>
      <w:pPr>
        <w:numPr>
          <w:ilvl w:val="0"/>
          <w:numId w:val="6"/>
        </w:numPr>
        <w:bidi w:val="0"/>
        <w:ind w:left="420" w:leftChars="0" w:hanging="420" w:firstLineChars="0"/>
        <w:rPr>
          <w:rFonts w:hint="default"/>
          <w:b w:val="0"/>
          <w:bCs w:val="0"/>
          <w:i w:val="0"/>
          <w:iCs w:val="0"/>
          <w:lang w:val="en-US" w:eastAsia="zh-CN"/>
        </w:rPr>
      </w:pPr>
      <w:r>
        <w:rPr>
          <w:rFonts w:hint="eastAsia"/>
          <w:b w:val="0"/>
          <w:bCs w:val="0"/>
          <w:i w:val="0"/>
          <w:iCs w:val="0"/>
          <w:lang w:val="en-US" w:eastAsia="zh-CN"/>
        </w:rPr>
        <w:t xml:space="preserve">Ti field: Indicate how many TCI states are present for codepoint value </w:t>
      </w:r>
      <w:r>
        <w:rPr>
          <w:rFonts w:hint="eastAsia"/>
          <w:b w:val="0"/>
          <w:bCs w:val="0"/>
          <w:i/>
          <w:iCs/>
          <w:lang w:val="en-US" w:eastAsia="zh-CN"/>
        </w:rPr>
        <w:t xml:space="preserve">i , </w:t>
      </w:r>
      <w:r>
        <w:rPr>
          <w:rFonts w:hint="eastAsia"/>
          <w:b w:val="0"/>
          <w:bCs w:val="0"/>
          <w:i w:val="0"/>
          <w:iCs w:val="0"/>
          <w:lang w:val="en-US" w:eastAsia="zh-CN"/>
        </w:rPr>
        <w:t>TCI state pair is present if Ti is set to 1, otherwise, only one TCI state is present.</w:t>
      </w:r>
    </w:p>
    <w:p>
      <w:pPr>
        <w:numPr>
          <w:ilvl w:val="0"/>
          <w:numId w:val="6"/>
        </w:numPr>
        <w:bidi w:val="0"/>
        <w:ind w:left="420" w:leftChars="0" w:hanging="420" w:firstLineChars="0"/>
        <w:rPr>
          <w:rFonts w:hint="default"/>
          <w:b w:val="0"/>
          <w:bCs w:val="0"/>
          <w:i w:val="0"/>
          <w:iCs w:val="0"/>
          <w:lang w:val="en-US" w:eastAsia="zh-CN"/>
        </w:rPr>
      </w:pPr>
      <w:r>
        <w:rPr>
          <w:rFonts w:hint="eastAsia"/>
          <w:b w:val="0"/>
          <w:bCs w:val="0"/>
          <w:i w:val="0"/>
          <w:iCs w:val="0"/>
          <w:lang w:val="en-US" w:eastAsia="zh-CN"/>
        </w:rPr>
        <w:t>U/L: Indicate the TCI state IDi,y contained in the same octet is from unified UL list or DL/Joint list.</w:t>
      </w:r>
    </w:p>
    <w:p>
      <w:pPr>
        <w:bidi w:val="0"/>
        <w:rPr>
          <w:rFonts w:hint="eastAsia"/>
          <w:b w:val="0"/>
          <w:bCs w:val="0"/>
          <w:i w:val="0"/>
          <w:iCs w:val="0"/>
          <w:lang w:val="en-US" w:eastAsia="zh-CN"/>
        </w:rPr>
      </w:pPr>
      <w:r>
        <w:rPr>
          <w:rFonts w:hint="eastAsia"/>
          <w:b w:val="0"/>
          <w:bCs w:val="0"/>
          <w:i w:val="0"/>
          <w:iCs w:val="0"/>
          <w:lang w:val="en-US" w:eastAsia="zh-CN"/>
        </w:rPr>
        <w:t>Hence according to above assumed MAC CE structure, the activation/deactivation of unified TCI state MAC CE would consume at most 18 octets for separate TCI stats and 10 octets for joint TCI state.</w:t>
      </w:r>
    </w:p>
    <w:p>
      <w:pPr>
        <w:bidi w:val="0"/>
        <w:rPr>
          <w:rFonts w:hint="eastAsia"/>
          <w:b/>
          <w:bCs/>
          <w:i w:val="0"/>
          <w:iCs w:val="0"/>
          <w:lang w:val="en-US" w:eastAsia="zh-CN"/>
        </w:rPr>
      </w:pPr>
      <w:r>
        <w:rPr>
          <w:rFonts w:hint="eastAsia"/>
          <w:b/>
          <w:bCs/>
          <w:i w:val="0"/>
          <w:iCs w:val="0"/>
          <w:lang w:val="en-US" w:eastAsia="zh-CN"/>
        </w:rPr>
        <w:t>Observation 3: Compare between the MAC CE structure assumption based on common list and separate lists, the bits consumption are the equal.</w:t>
      </w:r>
    </w:p>
    <w:p>
      <w:pPr>
        <w:bidi w:val="0"/>
        <w:rPr>
          <w:rFonts w:hint="eastAsia"/>
          <w:b w:val="0"/>
          <w:bCs w:val="0"/>
          <w:i w:val="0"/>
          <w:iCs w:val="0"/>
          <w:lang w:val="en-US" w:eastAsia="zh-CN"/>
        </w:rPr>
      </w:pPr>
      <w:r>
        <w:rPr>
          <w:rFonts w:hint="eastAsia"/>
          <w:b w:val="0"/>
          <w:bCs w:val="0"/>
          <w:i w:val="0"/>
          <w:iCs w:val="0"/>
          <w:lang w:val="en-US" w:eastAsia="zh-CN"/>
        </w:rPr>
        <w:t>According observation 1 and observation 2, one common list for unified TCI state cause none future issues than the separate lists and having a same performance on MAC CE design, so we prefer to propose:</w:t>
      </w:r>
    </w:p>
    <w:p>
      <w:pPr>
        <w:bidi w:val="0"/>
        <w:rPr>
          <w:rFonts w:hint="default"/>
          <w:b/>
          <w:bCs/>
          <w:i w:val="0"/>
          <w:iCs w:val="0"/>
          <w:lang w:val="en-US" w:eastAsia="zh-CN"/>
        </w:rPr>
      </w:pPr>
      <w:r>
        <w:rPr>
          <w:rFonts w:hint="eastAsia"/>
          <w:b/>
          <w:bCs/>
          <w:i w:val="0"/>
          <w:iCs w:val="0"/>
          <w:lang w:val="en-US" w:eastAsia="zh-CN"/>
        </w:rPr>
        <w:t xml:space="preserve">Proposal 1: One common TCI state list is used for unified TCI state that is configured in </w:t>
      </w:r>
      <w:r>
        <w:rPr>
          <w:rFonts w:hint="eastAsia"/>
          <w:b/>
          <w:bCs/>
          <w:i/>
          <w:iCs/>
          <w:lang w:val="en-US" w:eastAsia="zh-CN"/>
        </w:rPr>
        <w:t>PDSCH-Config.</w:t>
      </w:r>
      <w:r>
        <w:rPr>
          <w:rFonts w:hint="eastAsia"/>
          <w:b/>
          <w:bCs/>
          <w:i w:val="0"/>
          <w:iCs w:val="0"/>
          <w:lang w:val="en-US" w:eastAsia="zh-CN"/>
        </w:rPr>
        <w:t xml:space="preserve">  </w:t>
      </w:r>
    </w:p>
    <w:p>
      <w:pPr>
        <w:bidi w:val="0"/>
        <w:rPr>
          <w:rFonts w:hint="eastAsia"/>
          <w:b w:val="0"/>
          <w:bCs w:val="0"/>
          <w:i w:val="0"/>
          <w:iCs w:val="0"/>
          <w:lang w:val="en-US" w:eastAsia="zh-CN"/>
        </w:rPr>
      </w:pPr>
      <w:r>
        <w:rPr>
          <w:rFonts w:hint="eastAsia"/>
          <w:b w:val="0"/>
          <w:bCs w:val="0"/>
          <w:i w:val="0"/>
          <w:iCs w:val="0"/>
          <w:lang w:val="en-US" w:eastAsia="zh-CN"/>
        </w:rPr>
        <w:t>If proposal 1 is agreed, above illustrated MAC CE can be taken into account:</w:t>
      </w:r>
    </w:p>
    <w:p>
      <w:pPr>
        <w:widowControl w:val="0"/>
        <w:numPr>
          <w:ilvl w:val="0"/>
          <w:numId w:val="0"/>
        </w:numPr>
        <w:bidi w:val="0"/>
        <w:spacing w:after="160" w:line="259" w:lineRule="auto"/>
        <w:jc w:val="center"/>
        <w:rPr>
          <w:rFonts w:hint="default"/>
          <w:b w:val="0"/>
          <w:bCs w:val="0"/>
          <w:i w:val="0"/>
          <w:iCs w:val="0"/>
          <w:lang w:val="en-US" w:eastAsia="zh-CN"/>
        </w:rPr>
      </w:pPr>
      <w:r>
        <w:rPr>
          <w:rFonts w:hint="default"/>
          <w:b w:val="0"/>
          <w:bCs w:val="0"/>
          <w:i w:val="0"/>
          <w:iCs w:val="0"/>
          <w:lang w:val="en-US" w:eastAsia="zh-CN"/>
        </w:rPr>
        <w:object>
          <v:shape id="_x0000_i1027" o:spt="75" type="#_x0000_t75" style="height:383.4pt;width:345pt;" o:ole="t" filled="f" o:preferrelative="t" stroked="f" coordsize="21600,21600">
            <v:path/>
            <v:fill on="f" focussize="0,0"/>
            <v:stroke on="f"/>
            <v:imagedata r:id="rId8" o:title=""/>
            <o:lock v:ext="edit" aspectratio="f"/>
            <w10:wrap type="none"/>
            <w10:anchorlock/>
          </v:shape>
          <o:OLEObject Type="Embed" ProgID="Visio.Drawing.11" ShapeID="_x0000_i1027" DrawAspect="Content" ObjectID="_1468075727" r:id="rId11">
            <o:LockedField>false</o:LockedField>
          </o:OLEObject>
        </w:object>
      </w:r>
    </w:p>
    <w:p>
      <w:pPr>
        <w:widowControl w:val="0"/>
        <w:numPr>
          <w:ilvl w:val="0"/>
          <w:numId w:val="0"/>
        </w:numPr>
        <w:bidi w:val="0"/>
        <w:spacing w:after="160" w:line="259" w:lineRule="auto"/>
        <w:jc w:val="center"/>
        <w:rPr>
          <w:rFonts w:hint="default"/>
          <w:b w:val="0"/>
          <w:bCs w:val="0"/>
          <w:i w:val="0"/>
          <w:iCs w:val="0"/>
          <w:sz w:val="21"/>
          <w:szCs w:val="21"/>
          <w:lang w:val="en-US" w:eastAsia="zh-CN"/>
        </w:rPr>
      </w:pPr>
      <w:r>
        <w:rPr>
          <w:rFonts w:hint="eastAsia"/>
          <w:b w:val="0"/>
          <w:bCs w:val="0"/>
          <w:i w:val="0"/>
          <w:iCs w:val="0"/>
          <w:sz w:val="21"/>
          <w:szCs w:val="21"/>
          <w:lang w:val="en-US" w:eastAsia="zh-CN"/>
        </w:rPr>
        <w:t xml:space="preserve">Fig 3: The iactivation/deactivation of TCI state MAC CE </w:t>
      </w:r>
    </w:p>
    <w:p>
      <w:pPr>
        <w:bidi w:val="0"/>
        <w:rPr>
          <w:rFonts w:hint="eastAsia"/>
          <w:b w:val="0"/>
          <w:bCs w:val="0"/>
          <w:i w:val="0"/>
          <w:iCs w:val="0"/>
          <w:lang w:val="en-US" w:eastAsia="zh-CN"/>
        </w:rPr>
      </w:pPr>
      <w:r>
        <w:rPr>
          <w:rFonts w:hint="eastAsia"/>
          <w:b w:val="0"/>
          <w:bCs w:val="0"/>
          <w:i w:val="0"/>
          <w:iCs w:val="0"/>
          <w:lang w:val="en-US" w:eastAsia="zh-CN"/>
        </w:rPr>
        <w:t>In the MAC CE structure based on the common list:</w:t>
      </w:r>
    </w:p>
    <w:p>
      <w:pPr>
        <w:numPr>
          <w:ilvl w:val="0"/>
          <w:numId w:val="6"/>
        </w:numPr>
        <w:bidi w:val="0"/>
        <w:ind w:left="420" w:leftChars="0" w:hanging="420" w:firstLineChars="0"/>
        <w:rPr>
          <w:rFonts w:hint="eastAsia"/>
          <w:b w:val="0"/>
          <w:bCs w:val="0"/>
          <w:i w:val="0"/>
          <w:iCs w:val="0"/>
          <w:lang w:val="en-US" w:eastAsia="zh-CN"/>
        </w:rPr>
      </w:pPr>
      <w:r>
        <w:rPr>
          <w:rFonts w:hint="eastAsia"/>
          <w:b w:val="0"/>
          <w:bCs w:val="0"/>
          <w:i w:val="0"/>
          <w:iCs w:val="0"/>
          <w:lang w:val="en-US" w:eastAsia="zh-CN"/>
        </w:rPr>
        <w:t>TCI State ID</w:t>
      </w:r>
      <w:r>
        <w:rPr>
          <w:rFonts w:hint="eastAsia"/>
          <w:b w:val="0"/>
          <w:bCs w:val="0"/>
          <w:i/>
          <w:iCs/>
          <w:sz w:val="20"/>
          <w:szCs w:val="20"/>
          <w:lang w:val="en-US" w:eastAsia="zh-CN"/>
        </w:rPr>
        <w:t>i,y</w:t>
      </w:r>
      <w:r>
        <w:rPr>
          <w:rFonts w:hint="eastAsia"/>
          <w:b w:val="0"/>
          <w:bCs w:val="0"/>
          <w:i w:val="0"/>
          <w:iCs w:val="0"/>
          <w:lang w:val="en-US" w:eastAsia="zh-CN"/>
        </w:rPr>
        <w:t>: Indicate the activated TCI state in the unified TCI state list. TCI State ID</w:t>
      </w:r>
      <w:r>
        <w:rPr>
          <w:rFonts w:hint="eastAsia"/>
          <w:b w:val="0"/>
          <w:bCs w:val="0"/>
          <w:i/>
          <w:iCs/>
          <w:sz w:val="20"/>
          <w:szCs w:val="20"/>
          <w:lang w:val="en-US" w:eastAsia="zh-CN"/>
        </w:rPr>
        <w:t>i,y</w:t>
      </w:r>
      <w:r>
        <w:rPr>
          <w:rFonts w:hint="eastAsia"/>
          <w:b w:val="0"/>
          <w:bCs w:val="0"/>
          <w:i w:val="0"/>
          <w:iCs w:val="0"/>
          <w:lang w:val="en-US" w:eastAsia="zh-CN"/>
        </w:rPr>
        <w:t xml:space="preserve"> is the </w:t>
      </w:r>
      <w:r>
        <w:rPr>
          <w:rFonts w:hint="eastAsia"/>
          <w:b w:val="0"/>
          <w:bCs w:val="0"/>
          <w:i/>
          <w:iCs/>
          <w:lang w:val="en-US" w:eastAsia="zh-CN"/>
        </w:rPr>
        <w:t xml:space="preserve">y+1 th </w:t>
      </w:r>
      <w:r>
        <w:rPr>
          <w:rFonts w:hint="eastAsia"/>
          <w:b w:val="0"/>
          <w:bCs w:val="0"/>
          <w:i w:val="0"/>
          <w:iCs w:val="0"/>
          <w:lang w:val="en-US" w:eastAsia="zh-CN"/>
        </w:rPr>
        <w:t xml:space="preserve">TCI state associated with the codepoint value </w:t>
      </w:r>
      <w:r>
        <w:rPr>
          <w:rFonts w:hint="eastAsia"/>
          <w:b w:val="0"/>
          <w:bCs w:val="0"/>
          <w:i/>
          <w:iCs/>
          <w:lang w:val="en-US" w:eastAsia="zh-CN"/>
        </w:rPr>
        <w:t>i</w:t>
      </w:r>
      <w:r>
        <w:rPr>
          <w:rFonts w:hint="eastAsia"/>
          <w:b w:val="0"/>
          <w:bCs w:val="0"/>
          <w:i w:val="0"/>
          <w:iCs w:val="0"/>
          <w:lang w:val="en-US" w:eastAsia="zh-CN"/>
        </w:rPr>
        <w:t xml:space="preserve"> </w:t>
      </w:r>
      <w:r>
        <w:rPr>
          <w:rFonts w:hint="eastAsia"/>
          <w:b w:val="0"/>
          <w:bCs w:val="0"/>
          <w:i/>
          <w:iCs/>
          <w:lang w:val="en-US" w:eastAsia="zh-CN"/>
        </w:rPr>
        <w:t xml:space="preserve">, </w:t>
      </w:r>
      <w:r>
        <w:rPr>
          <w:rFonts w:hint="eastAsia"/>
          <w:b w:val="0"/>
          <w:bCs w:val="0"/>
          <w:i w:val="0"/>
          <w:iCs w:val="0"/>
          <w:lang w:val="en-US" w:eastAsia="zh-CN"/>
        </w:rPr>
        <w:t>if T</w:t>
      </w:r>
      <w:r>
        <w:rPr>
          <w:rFonts w:hint="eastAsia"/>
          <w:b w:val="0"/>
          <w:bCs w:val="0"/>
          <w:i/>
          <w:iCs/>
          <w:lang w:val="en-US" w:eastAsia="zh-CN"/>
        </w:rPr>
        <w:t xml:space="preserve">i </w:t>
      </w:r>
      <w:r>
        <w:rPr>
          <w:rFonts w:hint="eastAsia"/>
          <w:b w:val="0"/>
          <w:bCs w:val="0"/>
          <w:i w:val="0"/>
          <w:iCs w:val="0"/>
          <w:lang w:val="en-US" w:eastAsia="zh-CN"/>
        </w:rPr>
        <w:t xml:space="preserve">is set to 1, the maximum value of </w:t>
      </w:r>
      <w:r>
        <w:rPr>
          <w:rFonts w:hint="eastAsia"/>
          <w:b w:val="0"/>
          <w:bCs w:val="0"/>
          <w:i/>
          <w:iCs/>
          <w:lang w:val="en-US" w:eastAsia="zh-CN"/>
        </w:rPr>
        <w:t xml:space="preserve">y </w:t>
      </w:r>
      <w:r>
        <w:rPr>
          <w:rFonts w:hint="eastAsia"/>
          <w:b w:val="0"/>
          <w:bCs w:val="0"/>
          <w:i w:val="0"/>
          <w:iCs w:val="0"/>
          <w:lang w:val="en-US" w:eastAsia="zh-CN"/>
        </w:rPr>
        <w:t xml:space="preserve">is 1, otherwise the maximum value of </w:t>
      </w:r>
      <w:r>
        <w:rPr>
          <w:rFonts w:hint="eastAsia"/>
          <w:b w:val="0"/>
          <w:bCs w:val="0"/>
          <w:i/>
          <w:iCs/>
          <w:lang w:val="en-US" w:eastAsia="zh-CN"/>
        </w:rPr>
        <w:t>y</w:t>
      </w:r>
      <w:r>
        <w:rPr>
          <w:rFonts w:hint="eastAsia"/>
          <w:b w:val="0"/>
          <w:bCs w:val="0"/>
          <w:i w:val="0"/>
          <w:iCs w:val="0"/>
          <w:lang w:val="en-US" w:eastAsia="zh-CN"/>
        </w:rPr>
        <w:t xml:space="preserve"> is 0</w:t>
      </w:r>
    </w:p>
    <w:p>
      <w:pPr>
        <w:numPr>
          <w:ilvl w:val="0"/>
          <w:numId w:val="6"/>
        </w:numPr>
        <w:bidi w:val="0"/>
        <w:ind w:left="420" w:leftChars="0" w:hanging="420" w:firstLineChars="0"/>
        <w:rPr>
          <w:rFonts w:hint="eastAsia"/>
          <w:b w:val="0"/>
          <w:bCs w:val="0"/>
          <w:i w:val="0"/>
          <w:iCs w:val="0"/>
          <w:lang w:val="en-US" w:eastAsia="zh-CN"/>
        </w:rPr>
      </w:pPr>
      <w:r>
        <w:rPr>
          <w:rFonts w:hint="eastAsia"/>
          <w:b w:val="0"/>
          <w:bCs w:val="0"/>
          <w:i w:val="0"/>
          <w:iCs w:val="0"/>
          <w:lang w:val="en-US" w:eastAsia="zh-CN"/>
        </w:rPr>
        <w:t xml:space="preserve">Ti field: Indicate how many TCI states are present for codepoint value </w:t>
      </w:r>
      <w:r>
        <w:rPr>
          <w:rFonts w:hint="eastAsia"/>
          <w:b w:val="0"/>
          <w:bCs w:val="0"/>
          <w:i/>
          <w:iCs/>
          <w:lang w:val="en-US" w:eastAsia="zh-CN"/>
        </w:rPr>
        <w:t xml:space="preserve">i , </w:t>
      </w:r>
      <w:r>
        <w:rPr>
          <w:rFonts w:hint="eastAsia"/>
          <w:b w:val="0"/>
          <w:bCs w:val="0"/>
          <w:i w:val="0"/>
          <w:iCs w:val="0"/>
          <w:lang w:val="en-US" w:eastAsia="zh-CN"/>
        </w:rPr>
        <w:t>TCI state pair is present if Ti is set to 1, otherwise, only one TCI state is present. If TCI state IDi,y bit is not present, consider Ti field as R bit.</w:t>
      </w:r>
    </w:p>
    <w:p>
      <w:pPr>
        <w:bidi w:val="0"/>
        <w:jc w:val="both"/>
        <w:rPr>
          <w:rFonts w:hint="default"/>
          <w:b/>
          <w:bCs/>
          <w:i w:val="0"/>
          <w:iCs w:val="0"/>
          <w:lang w:val="en-US" w:eastAsia="zh-CN"/>
        </w:rPr>
      </w:pPr>
      <w:r>
        <w:rPr>
          <w:rFonts w:hint="eastAsia"/>
          <w:b/>
          <w:bCs/>
          <w:i w:val="0"/>
          <w:iCs w:val="0"/>
          <w:lang w:val="en-US" w:eastAsia="zh-CN"/>
        </w:rPr>
        <w:t>Proposal 2: Adopt the unified TCI state activation/deactivation MAC CE as in fig3.</w:t>
      </w:r>
    </w:p>
    <w:bookmarkEnd w:id="2"/>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r>
        <w:rPr>
          <w:rFonts w:hint="eastAsia" w:ascii="Arial" w:hAnsi="Arial" w:cs="Arial"/>
          <w:b w:val="0"/>
          <w:bCs w:val="0"/>
          <w:kern w:val="0"/>
          <w:sz w:val="32"/>
          <w:szCs w:val="36"/>
        </w:rPr>
        <w:t xml:space="preserve"> </w:t>
      </w:r>
    </w:p>
    <w:p>
      <w:pPr>
        <w:jc w:val="left"/>
        <w:rPr>
          <w:rFonts w:hint="eastAsia"/>
          <w:sz w:val="20"/>
          <w:szCs w:val="20"/>
        </w:rPr>
      </w:pPr>
      <w:r>
        <w:rPr>
          <w:rFonts w:hint="eastAsia"/>
          <w:sz w:val="20"/>
          <w:szCs w:val="20"/>
        </w:rPr>
        <w:t>With the above analysis, we have the following conclusions and proposals:</w:t>
      </w:r>
    </w:p>
    <w:p>
      <w:pPr>
        <w:bidi w:val="0"/>
        <w:rPr>
          <w:rFonts w:hint="eastAsia"/>
          <w:b/>
          <w:bCs/>
          <w:i w:val="0"/>
          <w:iCs w:val="0"/>
          <w:lang w:val="en-US" w:eastAsia="zh-CN"/>
        </w:rPr>
      </w:pPr>
      <w:r>
        <w:rPr>
          <w:rFonts w:hint="eastAsia"/>
          <w:b/>
          <w:bCs/>
          <w:lang w:val="en-US" w:eastAsia="zh-CN"/>
        </w:rPr>
        <w:t xml:space="preserve">Observation 1: According to the RAN1 agreements, the TCI state lists for both UL/DL transmission on UE dedicated channels shall be configured in </w:t>
      </w:r>
      <w:r>
        <w:rPr>
          <w:rFonts w:hint="eastAsia"/>
          <w:b/>
          <w:bCs/>
          <w:i/>
          <w:iCs/>
          <w:lang w:val="en-US" w:eastAsia="zh-CN"/>
        </w:rPr>
        <w:t xml:space="preserve">PDSCH-Config </w:t>
      </w:r>
      <w:r>
        <w:rPr>
          <w:rFonts w:hint="eastAsia"/>
          <w:b/>
          <w:bCs/>
          <w:i w:val="0"/>
          <w:iCs w:val="0"/>
          <w:lang w:val="en-US" w:eastAsia="zh-CN"/>
        </w:rPr>
        <w:t xml:space="preserve">of </w:t>
      </w:r>
      <w:r>
        <w:rPr>
          <w:rFonts w:hint="eastAsia"/>
          <w:b/>
          <w:bCs/>
          <w:i/>
          <w:iCs/>
          <w:lang w:val="en-US" w:eastAsia="zh-CN"/>
        </w:rPr>
        <w:t xml:space="preserve">BWP-DownlinkDedicated, </w:t>
      </w:r>
      <w:r>
        <w:rPr>
          <w:rFonts w:hint="eastAsia"/>
          <w:b/>
          <w:bCs/>
          <w:i w:val="0"/>
          <w:iCs w:val="0"/>
          <w:lang w:val="en-US" w:eastAsia="zh-CN"/>
        </w:rPr>
        <w:t>and the TCI state lists can be referred to the other BWP/CC.</w:t>
      </w:r>
    </w:p>
    <w:p>
      <w:pPr>
        <w:widowControl w:val="0"/>
        <w:numPr>
          <w:ilvl w:val="0"/>
          <w:numId w:val="0"/>
        </w:numPr>
        <w:bidi w:val="0"/>
        <w:spacing w:after="160" w:line="259" w:lineRule="auto"/>
        <w:jc w:val="both"/>
        <w:rPr>
          <w:rFonts w:hint="default"/>
          <w:b w:val="0"/>
          <w:bCs w:val="0"/>
          <w:i w:val="0"/>
          <w:iCs w:val="0"/>
          <w:lang w:val="en-US" w:eastAsia="zh-CN"/>
        </w:rPr>
      </w:pPr>
      <w:r>
        <w:rPr>
          <w:rFonts w:hint="eastAsia"/>
          <w:b/>
          <w:bCs/>
          <w:i w:val="0"/>
          <w:iCs w:val="0"/>
          <w:lang w:val="en-US" w:eastAsia="zh-CN"/>
        </w:rPr>
        <w:t xml:space="preserve">Observation 2: In the case of a DL BWP not configured with any unified TCI state list, Separate List for TCI states (i.e UL list , DL/joint List) may cause an extra issue, that is, for one BWP/CC not configured with unified TCI state list, whether can be replaced with a reference of UL list from one BPW/CC and DL/Joint List from another BWP/CC. This issue cannot be resolved by RAN2 solely, and shall be confirmed by RAN1. </w:t>
      </w:r>
    </w:p>
    <w:p>
      <w:pPr>
        <w:bidi w:val="0"/>
        <w:rPr>
          <w:rFonts w:hint="eastAsia"/>
          <w:b/>
          <w:bCs/>
          <w:i w:val="0"/>
          <w:iCs w:val="0"/>
          <w:lang w:val="en-US" w:eastAsia="zh-CN"/>
        </w:rPr>
      </w:pPr>
      <w:r>
        <w:rPr>
          <w:rFonts w:hint="eastAsia"/>
          <w:b/>
          <w:bCs/>
          <w:i w:val="0"/>
          <w:iCs w:val="0"/>
          <w:lang w:val="en-US" w:eastAsia="zh-CN"/>
        </w:rPr>
        <w:t>Observation 3: Compare between the MAC CE structure assumption based on common list and separate lists, the bits consumption are equal.</w:t>
      </w:r>
    </w:p>
    <w:p>
      <w:pPr>
        <w:bidi w:val="0"/>
        <w:rPr>
          <w:rFonts w:hint="default"/>
          <w:b/>
          <w:bCs/>
          <w:i w:val="0"/>
          <w:iCs w:val="0"/>
          <w:lang w:val="en-US" w:eastAsia="zh-CN"/>
        </w:rPr>
      </w:pPr>
      <w:r>
        <w:rPr>
          <w:rFonts w:hint="eastAsia"/>
          <w:b/>
          <w:bCs/>
          <w:i w:val="0"/>
          <w:iCs w:val="0"/>
          <w:lang w:val="en-US" w:eastAsia="zh-CN"/>
        </w:rPr>
        <w:t xml:space="preserve">Proposal 1: One common TCI state list is used for unified TCI state that is configured in </w:t>
      </w:r>
      <w:r>
        <w:rPr>
          <w:rFonts w:hint="eastAsia"/>
          <w:b/>
          <w:bCs/>
          <w:i/>
          <w:iCs/>
          <w:lang w:val="en-US" w:eastAsia="zh-CN"/>
        </w:rPr>
        <w:t>PDSCH-Config.</w:t>
      </w:r>
      <w:r>
        <w:rPr>
          <w:rFonts w:hint="eastAsia"/>
          <w:b/>
          <w:bCs/>
          <w:i w:val="0"/>
          <w:iCs w:val="0"/>
          <w:lang w:val="en-US" w:eastAsia="zh-CN"/>
        </w:rPr>
        <w:t xml:space="preserve">   </w:t>
      </w:r>
    </w:p>
    <w:p>
      <w:pPr>
        <w:bidi w:val="0"/>
        <w:jc w:val="both"/>
        <w:rPr>
          <w:rFonts w:hint="default"/>
          <w:b/>
          <w:bCs/>
          <w:i w:val="0"/>
          <w:iCs w:val="0"/>
          <w:lang w:val="en-US" w:eastAsia="zh-CN"/>
        </w:rPr>
      </w:pPr>
      <w:r>
        <w:rPr>
          <w:rFonts w:hint="eastAsia"/>
          <w:b/>
          <w:bCs/>
          <w:i w:val="0"/>
          <w:iCs w:val="0"/>
          <w:lang w:val="en-US" w:eastAsia="zh-CN"/>
        </w:rPr>
        <w:t xml:space="preserve">Proposal 2: Adopt the unified TCI state activation/deactivation MAC CE as illustrated above. </w:t>
      </w:r>
    </w:p>
    <w:p>
      <w:pPr>
        <w:bidi w:val="0"/>
        <w:rPr>
          <w:rFonts w:hint="eastAsia"/>
          <w:sz w:val="20"/>
          <w:szCs w:val="20"/>
        </w:rPr>
      </w:pP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pStyle w:val="68"/>
        <w:spacing w:line="260" w:lineRule="auto"/>
        <w:ind w:firstLine="0" w:firstLineChars="0"/>
        <w:jc w:val="left"/>
        <w:rPr>
          <w:rFonts w:hint="default" w:eastAsiaTheme="minorEastAsia"/>
          <w:sz w:val="20"/>
          <w:szCs w:val="20"/>
          <w:lang w:val="en-US" w:eastAsia="zh-CN"/>
        </w:rPr>
      </w:pPr>
      <w:r>
        <w:rPr>
          <w:rFonts w:hint="eastAsia"/>
          <w:sz w:val="20"/>
          <w:szCs w:val="20"/>
          <w:lang w:val="en-US" w:eastAsia="zh-CN"/>
        </w:rPr>
        <w:t>[1] R2-116e Chair Notes EOM</w:t>
      </w: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바탕">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rPr>
        <w:rFonts w:hint="default" w:ascii="Times New Roman" w:hAnsi="Times New Roman" w:cs="Times New Roman"/>
        <w:b/>
        <w:bCs/>
        <w:sz w:val="40"/>
        <w:szCs w:val="40"/>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0B87577E"/>
    <w:multiLevelType w:val="singleLevel"/>
    <w:tmpl w:val="0B87577E"/>
    <w:lvl w:ilvl="0" w:tentative="0">
      <w:start w:val="1"/>
      <w:numFmt w:val="bullet"/>
      <w:lvlText w:val=""/>
      <w:lvlJc w:val="left"/>
      <w:pPr>
        <w:ind w:left="420" w:hanging="420"/>
      </w:pPr>
      <w:rPr>
        <w:rFonts w:hint="default" w:ascii="Wingdings" w:hAnsi="Wingdings"/>
      </w:rPr>
    </w:lvl>
  </w:abstractNum>
  <w:abstractNum w:abstractNumId="3">
    <w:nsid w:val="137D4E3A"/>
    <w:multiLevelType w:val="multilevel"/>
    <w:tmpl w:val="137D4E3A"/>
    <w:lvl w:ilvl="0" w:tentative="0">
      <w:start w:val="1"/>
      <w:numFmt w:val="bullet"/>
      <w:lvlText w:val=""/>
      <w:lvlJc w:val="left"/>
      <w:pPr>
        <w:ind w:left="750" w:hanging="360"/>
      </w:pPr>
      <w:rPr>
        <w:rFonts w:hint="default" w:ascii="Symbol" w:hAnsi="Symbol"/>
      </w:rPr>
    </w:lvl>
    <w:lvl w:ilvl="1" w:tentative="0">
      <w:start w:val="1"/>
      <w:numFmt w:val="bullet"/>
      <w:lvlText w:val="o"/>
      <w:lvlJc w:val="left"/>
      <w:pPr>
        <w:ind w:left="1470" w:hanging="360"/>
      </w:pPr>
      <w:rPr>
        <w:rFonts w:hint="default" w:ascii="Courier New" w:hAnsi="Courier New" w:cs="Courier New"/>
      </w:rPr>
    </w:lvl>
    <w:lvl w:ilvl="2" w:tentative="0">
      <w:start w:val="1"/>
      <w:numFmt w:val="bullet"/>
      <w:lvlText w:val=""/>
      <w:lvlJc w:val="left"/>
      <w:pPr>
        <w:ind w:left="2190" w:hanging="360"/>
      </w:pPr>
      <w:rPr>
        <w:rFonts w:hint="default" w:ascii="Wingdings" w:hAnsi="Wingdings"/>
      </w:rPr>
    </w:lvl>
    <w:lvl w:ilvl="3" w:tentative="0">
      <w:start w:val="1"/>
      <w:numFmt w:val="bullet"/>
      <w:lvlText w:val=""/>
      <w:lvlJc w:val="left"/>
      <w:pPr>
        <w:ind w:left="2910" w:hanging="360"/>
      </w:pPr>
      <w:rPr>
        <w:rFonts w:hint="default" w:ascii="Symbol" w:hAnsi="Symbol"/>
      </w:rPr>
    </w:lvl>
    <w:lvl w:ilvl="4" w:tentative="0">
      <w:start w:val="1"/>
      <w:numFmt w:val="bullet"/>
      <w:lvlText w:val="o"/>
      <w:lvlJc w:val="left"/>
      <w:pPr>
        <w:ind w:left="3630" w:hanging="360"/>
      </w:pPr>
      <w:rPr>
        <w:rFonts w:hint="default" w:ascii="Courier New" w:hAnsi="Courier New" w:cs="Courier New"/>
      </w:rPr>
    </w:lvl>
    <w:lvl w:ilvl="5" w:tentative="0">
      <w:start w:val="1"/>
      <w:numFmt w:val="bullet"/>
      <w:lvlText w:val=""/>
      <w:lvlJc w:val="left"/>
      <w:pPr>
        <w:ind w:left="4350" w:hanging="360"/>
      </w:pPr>
      <w:rPr>
        <w:rFonts w:hint="default" w:ascii="Wingdings" w:hAnsi="Wingdings"/>
      </w:rPr>
    </w:lvl>
    <w:lvl w:ilvl="6" w:tentative="0">
      <w:start w:val="1"/>
      <w:numFmt w:val="bullet"/>
      <w:lvlText w:val=""/>
      <w:lvlJc w:val="left"/>
      <w:pPr>
        <w:ind w:left="5070" w:hanging="360"/>
      </w:pPr>
      <w:rPr>
        <w:rFonts w:hint="default" w:ascii="Symbol" w:hAnsi="Symbol"/>
      </w:rPr>
    </w:lvl>
    <w:lvl w:ilvl="7" w:tentative="0">
      <w:start w:val="1"/>
      <w:numFmt w:val="bullet"/>
      <w:lvlText w:val="o"/>
      <w:lvlJc w:val="left"/>
      <w:pPr>
        <w:ind w:left="5790" w:hanging="360"/>
      </w:pPr>
      <w:rPr>
        <w:rFonts w:hint="default" w:ascii="Courier New" w:hAnsi="Courier New" w:cs="Courier New"/>
      </w:rPr>
    </w:lvl>
    <w:lvl w:ilvl="8" w:tentative="0">
      <w:start w:val="1"/>
      <w:numFmt w:val="bullet"/>
      <w:lvlText w:val=""/>
      <w:lvlJc w:val="left"/>
      <w:pPr>
        <w:ind w:left="6510" w:hanging="360"/>
      </w:pPr>
      <w:rPr>
        <w:rFonts w:hint="default" w:ascii="Wingdings" w:hAnsi="Wingdings"/>
      </w:rPr>
    </w:lvl>
  </w:abstractNum>
  <w:abstractNum w:abstractNumId="4">
    <w:nsid w:val="468519EC"/>
    <w:multiLevelType w:val="multilevel"/>
    <w:tmpl w:val="468519EC"/>
    <w:lvl w:ilvl="0" w:tentative="0">
      <w:start w:val="0"/>
      <w:numFmt w:val="bullet"/>
      <w:lvlText w:val="-"/>
      <w:lvlJc w:val="left"/>
      <w:pPr>
        <w:ind w:left="760" w:hanging="360"/>
      </w:pPr>
      <w:rPr>
        <w:rFonts w:hint="default" w:ascii="Times" w:hAnsi="Times" w:eastAsia="바탕" w:cs="Times"/>
      </w:rPr>
    </w:lvl>
    <w:lvl w:ilvl="1" w:tentative="0">
      <w:start w:val="1"/>
      <w:numFmt w:val="bullet"/>
      <w:lvlText w:val="o"/>
      <w:lvlJc w:val="left"/>
      <w:pPr>
        <w:ind w:left="1200" w:hanging="400"/>
      </w:pPr>
      <w:rPr>
        <w:rFonts w:hint="default" w:ascii="Courier New" w:hAnsi="Courier New" w:cs="Courier New"/>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5">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5"/>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07"/>
    <w:rsid w:val="00001366"/>
    <w:rsid w:val="0000394D"/>
    <w:rsid w:val="000055B1"/>
    <w:rsid w:val="00005B70"/>
    <w:rsid w:val="0000767C"/>
    <w:rsid w:val="000103E7"/>
    <w:rsid w:val="000130CA"/>
    <w:rsid w:val="00013F73"/>
    <w:rsid w:val="00013FAD"/>
    <w:rsid w:val="00017BA5"/>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554CA"/>
    <w:rsid w:val="000563ED"/>
    <w:rsid w:val="00057D0E"/>
    <w:rsid w:val="000603D6"/>
    <w:rsid w:val="00062984"/>
    <w:rsid w:val="00062D12"/>
    <w:rsid w:val="00067927"/>
    <w:rsid w:val="0007093A"/>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4B76"/>
    <w:rsid w:val="000B65CB"/>
    <w:rsid w:val="000B780E"/>
    <w:rsid w:val="000C12FB"/>
    <w:rsid w:val="000C236D"/>
    <w:rsid w:val="000C2690"/>
    <w:rsid w:val="000C364E"/>
    <w:rsid w:val="000C3F9F"/>
    <w:rsid w:val="000C5D4C"/>
    <w:rsid w:val="000C7A47"/>
    <w:rsid w:val="000C7F88"/>
    <w:rsid w:val="000C7FC7"/>
    <w:rsid w:val="000D18C5"/>
    <w:rsid w:val="000D2BF9"/>
    <w:rsid w:val="000E1125"/>
    <w:rsid w:val="000E1993"/>
    <w:rsid w:val="000E3B8A"/>
    <w:rsid w:val="000E65BC"/>
    <w:rsid w:val="000F0A7B"/>
    <w:rsid w:val="000F4CFF"/>
    <w:rsid w:val="00100030"/>
    <w:rsid w:val="0010359D"/>
    <w:rsid w:val="00103DDB"/>
    <w:rsid w:val="00111C96"/>
    <w:rsid w:val="00111CE0"/>
    <w:rsid w:val="00111DF0"/>
    <w:rsid w:val="001135C5"/>
    <w:rsid w:val="001147C0"/>
    <w:rsid w:val="00115029"/>
    <w:rsid w:val="001156DF"/>
    <w:rsid w:val="001253A3"/>
    <w:rsid w:val="00126145"/>
    <w:rsid w:val="0012673B"/>
    <w:rsid w:val="001277F8"/>
    <w:rsid w:val="00131F75"/>
    <w:rsid w:val="0013288E"/>
    <w:rsid w:val="00134275"/>
    <w:rsid w:val="0013534D"/>
    <w:rsid w:val="00135E30"/>
    <w:rsid w:val="00137B0E"/>
    <w:rsid w:val="00137D4E"/>
    <w:rsid w:val="001413B6"/>
    <w:rsid w:val="00141772"/>
    <w:rsid w:val="00141835"/>
    <w:rsid w:val="00145AFF"/>
    <w:rsid w:val="00147740"/>
    <w:rsid w:val="00150BAB"/>
    <w:rsid w:val="00156452"/>
    <w:rsid w:val="00160A40"/>
    <w:rsid w:val="001627D9"/>
    <w:rsid w:val="00166209"/>
    <w:rsid w:val="00170C6A"/>
    <w:rsid w:val="00171FF9"/>
    <w:rsid w:val="0017245C"/>
    <w:rsid w:val="00172A27"/>
    <w:rsid w:val="00175874"/>
    <w:rsid w:val="001767E6"/>
    <w:rsid w:val="00176AC2"/>
    <w:rsid w:val="001802FB"/>
    <w:rsid w:val="001806A8"/>
    <w:rsid w:val="00180983"/>
    <w:rsid w:val="0018310D"/>
    <w:rsid w:val="00184250"/>
    <w:rsid w:val="00184786"/>
    <w:rsid w:val="00187FEF"/>
    <w:rsid w:val="00190A8D"/>
    <w:rsid w:val="0019547D"/>
    <w:rsid w:val="00195E1F"/>
    <w:rsid w:val="00196645"/>
    <w:rsid w:val="00197997"/>
    <w:rsid w:val="001A22A7"/>
    <w:rsid w:val="001A384E"/>
    <w:rsid w:val="001A4015"/>
    <w:rsid w:val="001A6AFD"/>
    <w:rsid w:val="001A75C4"/>
    <w:rsid w:val="001B21A1"/>
    <w:rsid w:val="001B337C"/>
    <w:rsid w:val="001B5AE5"/>
    <w:rsid w:val="001B6518"/>
    <w:rsid w:val="001B7027"/>
    <w:rsid w:val="001B7C67"/>
    <w:rsid w:val="001C0CED"/>
    <w:rsid w:val="001C1105"/>
    <w:rsid w:val="001C17C6"/>
    <w:rsid w:val="001C2189"/>
    <w:rsid w:val="001C22DE"/>
    <w:rsid w:val="001C2425"/>
    <w:rsid w:val="001C3C4C"/>
    <w:rsid w:val="001C7F10"/>
    <w:rsid w:val="001D2914"/>
    <w:rsid w:val="001D2FB0"/>
    <w:rsid w:val="001E0341"/>
    <w:rsid w:val="001E1C36"/>
    <w:rsid w:val="001E3D8C"/>
    <w:rsid w:val="001E43EF"/>
    <w:rsid w:val="001E44CD"/>
    <w:rsid w:val="001E6F40"/>
    <w:rsid w:val="001E7559"/>
    <w:rsid w:val="001F31F0"/>
    <w:rsid w:val="001F3DF5"/>
    <w:rsid w:val="001F4346"/>
    <w:rsid w:val="00201FFE"/>
    <w:rsid w:val="00202C4B"/>
    <w:rsid w:val="002035B4"/>
    <w:rsid w:val="00203774"/>
    <w:rsid w:val="00203B88"/>
    <w:rsid w:val="00205321"/>
    <w:rsid w:val="00206380"/>
    <w:rsid w:val="002155FA"/>
    <w:rsid w:val="002176DE"/>
    <w:rsid w:val="00220834"/>
    <w:rsid w:val="00223B64"/>
    <w:rsid w:val="0023029F"/>
    <w:rsid w:val="00231281"/>
    <w:rsid w:val="00231D10"/>
    <w:rsid w:val="00231DC2"/>
    <w:rsid w:val="00232A02"/>
    <w:rsid w:val="002333B7"/>
    <w:rsid w:val="002339C1"/>
    <w:rsid w:val="002344F2"/>
    <w:rsid w:val="002368E4"/>
    <w:rsid w:val="00236F8F"/>
    <w:rsid w:val="00241832"/>
    <w:rsid w:val="00242E0D"/>
    <w:rsid w:val="00244D42"/>
    <w:rsid w:val="00245149"/>
    <w:rsid w:val="00246FFA"/>
    <w:rsid w:val="00247076"/>
    <w:rsid w:val="00252B94"/>
    <w:rsid w:val="00255E19"/>
    <w:rsid w:val="0025653A"/>
    <w:rsid w:val="00256C2E"/>
    <w:rsid w:val="00257233"/>
    <w:rsid w:val="00257421"/>
    <w:rsid w:val="00260716"/>
    <w:rsid w:val="0026193E"/>
    <w:rsid w:val="00261A9C"/>
    <w:rsid w:val="00261E11"/>
    <w:rsid w:val="00262518"/>
    <w:rsid w:val="0026554F"/>
    <w:rsid w:val="00267D0B"/>
    <w:rsid w:val="00270A1C"/>
    <w:rsid w:val="002716E8"/>
    <w:rsid w:val="00271ED8"/>
    <w:rsid w:val="002724B9"/>
    <w:rsid w:val="00272584"/>
    <w:rsid w:val="002730ED"/>
    <w:rsid w:val="0027675D"/>
    <w:rsid w:val="00281718"/>
    <w:rsid w:val="00283B4B"/>
    <w:rsid w:val="002854AD"/>
    <w:rsid w:val="002855D0"/>
    <w:rsid w:val="00290E18"/>
    <w:rsid w:val="00291D54"/>
    <w:rsid w:val="00293A6E"/>
    <w:rsid w:val="00296302"/>
    <w:rsid w:val="00296677"/>
    <w:rsid w:val="00297A88"/>
    <w:rsid w:val="002A43A8"/>
    <w:rsid w:val="002A66AB"/>
    <w:rsid w:val="002B24A3"/>
    <w:rsid w:val="002B2BBC"/>
    <w:rsid w:val="002B351B"/>
    <w:rsid w:val="002B3C48"/>
    <w:rsid w:val="002B434C"/>
    <w:rsid w:val="002B4F1D"/>
    <w:rsid w:val="002B75E7"/>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3596"/>
    <w:rsid w:val="002E5737"/>
    <w:rsid w:val="002E674B"/>
    <w:rsid w:val="002E7525"/>
    <w:rsid w:val="002F01CA"/>
    <w:rsid w:val="002F1163"/>
    <w:rsid w:val="002F12B3"/>
    <w:rsid w:val="002F2924"/>
    <w:rsid w:val="002F3161"/>
    <w:rsid w:val="002F5517"/>
    <w:rsid w:val="002F74B9"/>
    <w:rsid w:val="002F7AA9"/>
    <w:rsid w:val="003031CE"/>
    <w:rsid w:val="00305358"/>
    <w:rsid w:val="003057F5"/>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2713"/>
    <w:rsid w:val="0033386B"/>
    <w:rsid w:val="00333D6C"/>
    <w:rsid w:val="003347C2"/>
    <w:rsid w:val="00334858"/>
    <w:rsid w:val="00334A1D"/>
    <w:rsid w:val="00335B60"/>
    <w:rsid w:val="00336046"/>
    <w:rsid w:val="003371B2"/>
    <w:rsid w:val="00340AAF"/>
    <w:rsid w:val="00342EC6"/>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70E0A"/>
    <w:rsid w:val="00370E80"/>
    <w:rsid w:val="00371876"/>
    <w:rsid w:val="00372C00"/>
    <w:rsid w:val="003737D0"/>
    <w:rsid w:val="00373D4E"/>
    <w:rsid w:val="003744F2"/>
    <w:rsid w:val="003754F5"/>
    <w:rsid w:val="0037618A"/>
    <w:rsid w:val="00377BA5"/>
    <w:rsid w:val="00381829"/>
    <w:rsid w:val="00381B58"/>
    <w:rsid w:val="00382FAE"/>
    <w:rsid w:val="003832DC"/>
    <w:rsid w:val="00384541"/>
    <w:rsid w:val="00384550"/>
    <w:rsid w:val="00385C87"/>
    <w:rsid w:val="00387F14"/>
    <w:rsid w:val="00391402"/>
    <w:rsid w:val="00391490"/>
    <w:rsid w:val="00391F87"/>
    <w:rsid w:val="00393338"/>
    <w:rsid w:val="00394FC5"/>
    <w:rsid w:val="00396952"/>
    <w:rsid w:val="00397C52"/>
    <w:rsid w:val="003A150D"/>
    <w:rsid w:val="003A2084"/>
    <w:rsid w:val="003A2A06"/>
    <w:rsid w:val="003A3ACC"/>
    <w:rsid w:val="003A4C78"/>
    <w:rsid w:val="003A5159"/>
    <w:rsid w:val="003A552B"/>
    <w:rsid w:val="003A7F66"/>
    <w:rsid w:val="003B132E"/>
    <w:rsid w:val="003B139B"/>
    <w:rsid w:val="003B3A50"/>
    <w:rsid w:val="003B448B"/>
    <w:rsid w:val="003B47C6"/>
    <w:rsid w:val="003B774C"/>
    <w:rsid w:val="003B79ED"/>
    <w:rsid w:val="003C0583"/>
    <w:rsid w:val="003C3E62"/>
    <w:rsid w:val="003C464E"/>
    <w:rsid w:val="003D01E0"/>
    <w:rsid w:val="003D0EF8"/>
    <w:rsid w:val="003D1455"/>
    <w:rsid w:val="003D2041"/>
    <w:rsid w:val="003D2B72"/>
    <w:rsid w:val="003D2CE7"/>
    <w:rsid w:val="003D42C7"/>
    <w:rsid w:val="003D7765"/>
    <w:rsid w:val="003E1518"/>
    <w:rsid w:val="003E42F6"/>
    <w:rsid w:val="003E48E7"/>
    <w:rsid w:val="003E6BF7"/>
    <w:rsid w:val="003E744C"/>
    <w:rsid w:val="003E7C95"/>
    <w:rsid w:val="003E7D68"/>
    <w:rsid w:val="003F1437"/>
    <w:rsid w:val="003F1B22"/>
    <w:rsid w:val="003F30C9"/>
    <w:rsid w:val="003F3365"/>
    <w:rsid w:val="003F39E3"/>
    <w:rsid w:val="003F448B"/>
    <w:rsid w:val="003F58F6"/>
    <w:rsid w:val="003F6316"/>
    <w:rsid w:val="004009D9"/>
    <w:rsid w:val="00400A1A"/>
    <w:rsid w:val="00401149"/>
    <w:rsid w:val="00401C3E"/>
    <w:rsid w:val="00402720"/>
    <w:rsid w:val="00402985"/>
    <w:rsid w:val="004046D6"/>
    <w:rsid w:val="004060CF"/>
    <w:rsid w:val="00406593"/>
    <w:rsid w:val="004069B2"/>
    <w:rsid w:val="00410275"/>
    <w:rsid w:val="00410408"/>
    <w:rsid w:val="00413229"/>
    <w:rsid w:val="00413D6F"/>
    <w:rsid w:val="00415023"/>
    <w:rsid w:val="004228A3"/>
    <w:rsid w:val="004229AC"/>
    <w:rsid w:val="00423D3B"/>
    <w:rsid w:val="004245A3"/>
    <w:rsid w:val="00424A48"/>
    <w:rsid w:val="00425276"/>
    <w:rsid w:val="004274EC"/>
    <w:rsid w:val="00427917"/>
    <w:rsid w:val="0043487F"/>
    <w:rsid w:val="00436238"/>
    <w:rsid w:val="0043672A"/>
    <w:rsid w:val="00437EF1"/>
    <w:rsid w:val="00441EB5"/>
    <w:rsid w:val="0044341B"/>
    <w:rsid w:val="00443D84"/>
    <w:rsid w:val="00444131"/>
    <w:rsid w:val="00444F7D"/>
    <w:rsid w:val="00445007"/>
    <w:rsid w:val="00446A9B"/>
    <w:rsid w:val="00453750"/>
    <w:rsid w:val="00456668"/>
    <w:rsid w:val="0046088D"/>
    <w:rsid w:val="00460FF4"/>
    <w:rsid w:val="00462F02"/>
    <w:rsid w:val="00466EDC"/>
    <w:rsid w:val="00467368"/>
    <w:rsid w:val="00467D25"/>
    <w:rsid w:val="00470697"/>
    <w:rsid w:val="00471CB7"/>
    <w:rsid w:val="0047305C"/>
    <w:rsid w:val="0047403A"/>
    <w:rsid w:val="00474161"/>
    <w:rsid w:val="00474C36"/>
    <w:rsid w:val="00475E38"/>
    <w:rsid w:val="004770A0"/>
    <w:rsid w:val="0048006F"/>
    <w:rsid w:val="004806E7"/>
    <w:rsid w:val="00481C3A"/>
    <w:rsid w:val="00482BBB"/>
    <w:rsid w:val="0048379B"/>
    <w:rsid w:val="00485114"/>
    <w:rsid w:val="00485AE4"/>
    <w:rsid w:val="00486111"/>
    <w:rsid w:val="00486720"/>
    <w:rsid w:val="0049176F"/>
    <w:rsid w:val="00492EA5"/>
    <w:rsid w:val="00493247"/>
    <w:rsid w:val="004966BC"/>
    <w:rsid w:val="00497BD9"/>
    <w:rsid w:val="00497BFB"/>
    <w:rsid w:val="004A0053"/>
    <w:rsid w:val="004A2687"/>
    <w:rsid w:val="004A3927"/>
    <w:rsid w:val="004A402F"/>
    <w:rsid w:val="004A54C0"/>
    <w:rsid w:val="004A7CAA"/>
    <w:rsid w:val="004B056D"/>
    <w:rsid w:val="004B12D7"/>
    <w:rsid w:val="004B2B05"/>
    <w:rsid w:val="004B2BBA"/>
    <w:rsid w:val="004B5502"/>
    <w:rsid w:val="004B71F4"/>
    <w:rsid w:val="004B76B6"/>
    <w:rsid w:val="004C0B5E"/>
    <w:rsid w:val="004C1175"/>
    <w:rsid w:val="004C16C3"/>
    <w:rsid w:val="004C16F8"/>
    <w:rsid w:val="004C355B"/>
    <w:rsid w:val="004C6366"/>
    <w:rsid w:val="004C63EE"/>
    <w:rsid w:val="004D1073"/>
    <w:rsid w:val="004D1EE6"/>
    <w:rsid w:val="004D238B"/>
    <w:rsid w:val="004D325D"/>
    <w:rsid w:val="004D33A4"/>
    <w:rsid w:val="004D35E4"/>
    <w:rsid w:val="004D39A3"/>
    <w:rsid w:val="004D7034"/>
    <w:rsid w:val="004E06BE"/>
    <w:rsid w:val="004E3A45"/>
    <w:rsid w:val="004E3B7D"/>
    <w:rsid w:val="004E3E3E"/>
    <w:rsid w:val="004E4863"/>
    <w:rsid w:val="004E5219"/>
    <w:rsid w:val="004E5753"/>
    <w:rsid w:val="004E6C29"/>
    <w:rsid w:val="004E7DA7"/>
    <w:rsid w:val="004F10CA"/>
    <w:rsid w:val="004F4675"/>
    <w:rsid w:val="004F557E"/>
    <w:rsid w:val="004F5BE1"/>
    <w:rsid w:val="004F68C9"/>
    <w:rsid w:val="00501570"/>
    <w:rsid w:val="005017DA"/>
    <w:rsid w:val="00501E2B"/>
    <w:rsid w:val="00502CB5"/>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4869"/>
    <w:rsid w:val="0053653D"/>
    <w:rsid w:val="005371D2"/>
    <w:rsid w:val="00537528"/>
    <w:rsid w:val="00537668"/>
    <w:rsid w:val="00542ED7"/>
    <w:rsid w:val="00545A76"/>
    <w:rsid w:val="005506C7"/>
    <w:rsid w:val="005514AA"/>
    <w:rsid w:val="00552C4B"/>
    <w:rsid w:val="00553234"/>
    <w:rsid w:val="0055402E"/>
    <w:rsid w:val="0055689F"/>
    <w:rsid w:val="00561349"/>
    <w:rsid w:val="005657FC"/>
    <w:rsid w:val="00567054"/>
    <w:rsid w:val="00567A9A"/>
    <w:rsid w:val="00570FEC"/>
    <w:rsid w:val="00571A8C"/>
    <w:rsid w:val="0057377D"/>
    <w:rsid w:val="00585E04"/>
    <w:rsid w:val="005910DD"/>
    <w:rsid w:val="00592AD4"/>
    <w:rsid w:val="00592E35"/>
    <w:rsid w:val="005940C1"/>
    <w:rsid w:val="0059566C"/>
    <w:rsid w:val="0059585E"/>
    <w:rsid w:val="00597FF8"/>
    <w:rsid w:val="005A3156"/>
    <w:rsid w:val="005A53DF"/>
    <w:rsid w:val="005A6185"/>
    <w:rsid w:val="005B052E"/>
    <w:rsid w:val="005B220B"/>
    <w:rsid w:val="005B2E19"/>
    <w:rsid w:val="005B66D2"/>
    <w:rsid w:val="005B7842"/>
    <w:rsid w:val="005C0EC9"/>
    <w:rsid w:val="005C1AC7"/>
    <w:rsid w:val="005C20A4"/>
    <w:rsid w:val="005C2356"/>
    <w:rsid w:val="005C4B1B"/>
    <w:rsid w:val="005D3608"/>
    <w:rsid w:val="005D494C"/>
    <w:rsid w:val="005D57F1"/>
    <w:rsid w:val="005D680C"/>
    <w:rsid w:val="005D75F6"/>
    <w:rsid w:val="005E06D3"/>
    <w:rsid w:val="005E27C0"/>
    <w:rsid w:val="005E4F1C"/>
    <w:rsid w:val="005E5573"/>
    <w:rsid w:val="005E7B04"/>
    <w:rsid w:val="005F05D7"/>
    <w:rsid w:val="005F05DE"/>
    <w:rsid w:val="005F097D"/>
    <w:rsid w:val="005F1004"/>
    <w:rsid w:val="005F1FAE"/>
    <w:rsid w:val="005F38B4"/>
    <w:rsid w:val="005F42AD"/>
    <w:rsid w:val="005F4E40"/>
    <w:rsid w:val="005F56A6"/>
    <w:rsid w:val="005F6041"/>
    <w:rsid w:val="005F7E99"/>
    <w:rsid w:val="006000DB"/>
    <w:rsid w:val="00601081"/>
    <w:rsid w:val="006012C6"/>
    <w:rsid w:val="00603143"/>
    <w:rsid w:val="00603239"/>
    <w:rsid w:val="0060473D"/>
    <w:rsid w:val="006053DC"/>
    <w:rsid w:val="00607A61"/>
    <w:rsid w:val="00611110"/>
    <w:rsid w:val="006127D4"/>
    <w:rsid w:val="00614547"/>
    <w:rsid w:val="00614D4B"/>
    <w:rsid w:val="00616DFB"/>
    <w:rsid w:val="0061700F"/>
    <w:rsid w:val="00617630"/>
    <w:rsid w:val="00617B27"/>
    <w:rsid w:val="00620346"/>
    <w:rsid w:val="0062074A"/>
    <w:rsid w:val="00622516"/>
    <w:rsid w:val="00622C68"/>
    <w:rsid w:val="00623125"/>
    <w:rsid w:val="0062321A"/>
    <w:rsid w:val="00623A9B"/>
    <w:rsid w:val="006241EE"/>
    <w:rsid w:val="00627ACD"/>
    <w:rsid w:val="00630383"/>
    <w:rsid w:val="00630B29"/>
    <w:rsid w:val="00633DA7"/>
    <w:rsid w:val="0063407C"/>
    <w:rsid w:val="00635291"/>
    <w:rsid w:val="006357BD"/>
    <w:rsid w:val="006408DC"/>
    <w:rsid w:val="006413AD"/>
    <w:rsid w:val="00641AA5"/>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365D"/>
    <w:rsid w:val="00684022"/>
    <w:rsid w:val="0068430C"/>
    <w:rsid w:val="00685237"/>
    <w:rsid w:val="00685541"/>
    <w:rsid w:val="006879E7"/>
    <w:rsid w:val="00690BB8"/>
    <w:rsid w:val="0069144C"/>
    <w:rsid w:val="0069161A"/>
    <w:rsid w:val="0069189C"/>
    <w:rsid w:val="00691D2A"/>
    <w:rsid w:val="00691E28"/>
    <w:rsid w:val="006934FA"/>
    <w:rsid w:val="006954BD"/>
    <w:rsid w:val="006978B2"/>
    <w:rsid w:val="00697DD7"/>
    <w:rsid w:val="006A451F"/>
    <w:rsid w:val="006A67C2"/>
    <w:rsid w:val="006A6A31"/>
    <w:rsid w:val="006B091B"/>
    <w:rsid w:val="006B0BCD"/>
    <w:rsid w:val="006B0CBE"/>
    <w:rsid w:val="006B1969"/>
    <w:rsid w:val="006B2F1E"/>
    <w:rsid w:val="006B3DD7"/>
    <w:rsid w:val="006B48F1"/>
    <w:rsid w:val="006B6F57"/>
    <w:rsid w:val="006C20D8"/>
    <w:rsid w:val="006C2D21"/>
    <w:rsid w:val="006C3A13"/>
    <w:rsid w:val="006C3B93"/>
    <w:rsid w:val="006C60A2"/>
    <w:rsid w:val="006C6193"/>
    <w:rsid w:val="006C7833"/>
    <w:rsid w:val="006D0533"/>
    <w:rsid w:val="006D436D"/>
    <w:rsid w:val="006D5430"/>
    <w:rsid w:val="006D5F00"/>
    <w:rsid w:val="006D63EF"/>
    <w:rsid w:val="006D7C19"/>
    <w:rsid w:val="006D7CA8"/>
    <w:rsid w:val="006E2FE4"/>
    <w:rsid w:val="006E36C6"/>
    <w:rsid w:val="006E3B73"/>
    <w:rsid w:val="006E5719"/>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682"/>
    <w:rsid w:val="00705FA1"/>
    <w:rsid w:val="00707E83"/>
    <w:rsid w:val="00711E45"/>
    <w:rsid w:val="007165B5"/>
    <w:rsid w:val="007165BE"/>
    <w:rsid w:val="007200FA"/>
    <w:rsid w:val="0072288C"/>
    <w:rsid w:val="00723530"/>
    <w:rsid w:val="0072469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51F0"/>
    <w:rsid w:val="00765312"/>
    <w:rsid w:val="00765D32"/>
    <w:rsid w:val="007705A1"/>
    <w:rsid w:val="00770F43"/>
    <w:rsid w:val="00771468"/>
    <w:rsid w:val="007719AC"/>
    <w:rsid w:val="00773686"/>
    <w:rsid w:val="00774A57"/>
    <w:rsid w:val="00776A65"/>
    <w:rsid w:val="00776AD0"/>
    <w:rsid w:val="00780871"/>
    <w:rsid w:val="00785CD5"/>
    <w:rsid w:val="00786DD7"/>
    <w:rsid w:val="00787A57"/>
    <w:rsid w:val="00787B7D"/>
    <w:rsid w:val="00790441"/>
    <w:rsid w:val="00792A3E"/>
    <w:rsid w:val="00792D48"/>
    <w:rsid w:val="00793203"/>
    <w:rsid w:val="007933D2"/>
    <w:rsid w:val="007938C0"/>
    <w:rsid w:val="00794677"/>
    <w:rsid w:val="00795931"/>
    <w:rsid w:val="00796A2A"/>
    <w:rsid w:val="007A053E"/>
    <w:rsid w:val="007A2A69"/>
    <w:rsid w:val="007A65E8"/>
    <w:rsid w:val="007A6821"/>
    <w:rsid w:val="007B055F"/>
    <w:rsid w:val="007B0BAC"/>
    <w:rsid w:val="007B289A"/>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5F5A"/>
    <w:rsid w:val="007E6E32"/>
    <w:rsid w:val="007E771D"/>
    <w:rsid w:val="007F1AD0"/>
    <w:rsid w:val="007F348A"/>
    <w:rsid w:val="007F3DA7"/>
    <w:rsid w:val="007F4203"/>
    <w:rsid w:val="007F502E"/>
    <w:rsid w:val="007F65F6"/>
    <w:rsid w:val="007F6A42"/>
    <w:rsid w:val="008013CA"/>
    <w:rsid w:val="008032AF"/>
    <w:rsid w:val="008056CF"/>
    <w:rsid w:val="00806C7C"/>
    <w:rsid w:val="0080728E"/>
    <w:rsid w:val="00811A11"/>
    <w:rsid w:val="00812603"/>
    <w:rsid w:val="00814945"/>
    <w:rsid w:val="00814985"/>
    <w:rsid w:val="008160BF"/>
    <w:rsid w:val="00816F96"/>
    <w:rsid w:val="008170EC"/>
    <w:rsid w:val="008175D4"/>
    <w:rsid w:val="00823AF8"/>
    <w:rsid w:val="00824F00"/>
    <w:rsid w:val="00825004"/>
    <w:rsid w:val="0082518A"/>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A12"/>
    <w:rsid w:val="00856F99"/>
    <w:rsid w:val="008609B3"/>
    <w:rsid w:val="00860FE6"/>
    <w:rsid w:val="00864140"/>
    <w:rsid w:val="0086427A"/>
    <w:rsid w:val="00864D17"/>
    <w:rsid w:val="008702BF"/>
    <w:rsid w:val="008711B4"/>
    <w:rsid w:val="008719B2"/>
    <w:rsid w:val="008719DB"/>
    <w:rsid w:val="00872250"/>
    <w:rsid w:val="00873167"/>
    <w:rsid w:val="008731B8"/>
    <w:rsid w:val="00873D16"/>
    <w:rsid w:val="00874735"/>
    <w:rsid w:val="008768D2"/>
    <w:rsid w:val="00880248"/>
    <w:rsid w:val="00880F6C"/>
    <w:rsid w:val="008855E2"/>
    <w:rsid w:val="00885E69"/>
    <w:rsid w:val="00886047"/>
    <w:rsid w:val="00886521"/>
    <w:rsid w:val="00887F76"/>
    <w:rsid w:val="00890083"/>
    <w:rsid w:val="0089021E"/>
    <w:rsid w:val="00891E7C"/>
    <w:rsid w:val="00891E8C"/>
    <w:rsid w:val="008937A3"/>
    <w:rsid w:val="0089509A"/>
    <w:rsid w:val="00896FB8"/>
    <w:rsid w:val="008A0087"/>
    <w:rsid w:val="008A4FE1"/>
    <w:rsid w:val="008A5E28"/>
    <w:rsid w:val="008A7884"/>
    <w:rsid w:val="008B0715"/>
    <w:rsid w:val="008B302A"/>
    <w:rsid w:val="008B4198"/>
    <w:rsid w:val="008B4609"/>
    <w:rsid w:val="008B5792"/>
    <w:rsid w:val="008B725C"/>
    <w:rsid w:val="008C1D6D"/>
    <w:rsid w:val="008C3F98"/>
    <w:rsid w:val="008C4684"/>
    <w:rsid w:val="008C594A"/>
    <w:rsid w:val="008C5C15"/>
    <w:rsid w:val="008D1DAC"/>
    <w:rsid w:val="008D23AF"/>
    <w:rsid w:val="008D3A05"/>
    <w:rsid w:val="008D3E0C"/>
    <w:rsid w:val="008D681A"/>
    <w:rsid w:val="008D6B1A"/>
    <w:rsid w:val="008D6D38"/>
    <w:rsid w:val="008E0617"/>
    <w:rsid w:val="008E1C51"/>
    <w:rsid w:val="008E5B71"/>
    <w:rsid w:val="008E705E"/>
    <w:rsid w:val="008E74B4"/>
    <w:rsid w:val="008F2453"/>
    <w:rsid w:val="008F34E9"/>
    <w:rsid w:val="00902833"/>
    <w:rsid w:val="009039E2"/>
    <w:rsid w:val="0091196A"/>
    <w:rsid w:val="00911DC9"/>
    <w:rsid w:val="009123FF"/>
    <w:rsid w:val="009164CD"/>
    <w:rsid w:val="00916C40"/>
    <w:rsid w:val="00917271"/>
    <w:rsid w:val="0091740C"/>
    <w:rsid w:val="00922A9F"/>
    <w:rsid w:val="009233DD"/>
    <w:rsid w:val="009233F9"/>
    <w:rsid w:val="00925478"/>
    <w:rsid w:val="00925A8F"/>
    <w:rsid w:val="00925D8E"/>
    <w:rsid w:val="009269F5"/>
    <w:rsid w:val="00930CAD"/>
    <w:rsid w:val="00934ADA"/>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54BB"/>
    <w:rsid w:val="009C2086"/>
    <w:rsid w:val="009C3006"/>
    <w:rsid w:val="009C7D32"/>
    <w:rsid w:val="009D159F"/>
    <w:rsid w:val="009D2A16"/>
    <w:rsid w:val="009D2EA0"/>
    <w:rsid w:val="009D435C"/>
    <w:rsid w:val="009D4DB6"/>
    <w:rsid w:val="009D6952"/>
    <w:rsid w:val="009D7F9A"/>
    <w:rsid w:val="009E068F"/>
    <w:rsid w:val="009E1B89"/>
    <w:rsid w:val="009E619C"/>
    <w:rsid w:val="009E7020"/>
    <w:rsid w:val="009E7045"/>
    <w:rsid w:val="009E748B"/>
    <w:rsid w:val="009F2244"/>
    <w:rsid w:val="009F2D46"/>
    <w:rsid w:val="009F3D12"/>
    <w:rsid w:val="009F51E2"/>
    <w:rsid w:val="009F572B"/>
    <w:rsid w:val="00A03D3F"/>
    <w:rsid w:val="00A04BEB"/>
    <w:rsid w:val="00A04DE2"/>
    <w:rsid w:val="00A06515"/>
    <w:rsid w:val="00A10FE1"/>
    <w:rsid w:val="00A11A20"/>
    <w:rsid w:val="00A11DFB"/>
    <w:rsid w:val="00A11F1E"/>
    <w:rsid w:val="00A14BA5"/>
    <w:rsid w:val="00A15C80"/>
    <w:rsid w:val="00A15DA4"/>
    <w:rsid w:val="00A20607"/>
    <w:rsid w:val="00A20770"/>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40BA8"/>
    <w:rsid w:val="00A4230E"/>
    <w:rsid w:val="00A44BE1"/>
    <w:rsid w:val="00A4500D"/>
    <w:rsid w:val="00A504A8"/>
    <w:rsid w:val="00A529EC"/>
    <w:rsid w:val="00A53DD7"/>
    <w:rsid w:val="00A542B8"/>
    <w:rsid w:val="00A54719"/>
    <w:rsid w:val="00A5709E"/>
    <w:rsid w:val="00A60A47"/>
    <w:rsid w:val="00A612B9"/>
    <w:rsid w:val="00A665FB"/>
    <w:rsid w:val="00A66B14"/>
    <w:rsid w:val="00A66CF8"/>
    <w:rsid w:val="00A71C52"/>
    <w:rsid w:val="00A72173"/>
    <w:rsid w:val="00A727DA"/>
    <w:rsid w:val="00A74F48"/>
    <w:rsid w:val="00A756EC"/>
    <w:rsid w:val="00A815A9"/>
    <w:rsid w:val="00A81A3A"/>
    <w:rsid w:val="00A83745"/>
    <w:rsid w:val="00A83E6C"/>
    <w:rsid w:val="00A84D8D"/>
    <w:rsid w:val="00A854F8"/>
    <w:rsid w:val="00A900AE"/>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20F7"/>
    <w:rsid w:val="00AB3399"/>
    <w:rsid w:val="00AB3A99"/>
    <w:rsid w:val="00AB3D67"/>
    <w:rsid w:val="00AC1E06"/>
    <w:rsid w:val="00AC4276"/>
    <w:rsid w:val="00AC464D"/>
    <w:rsid w:val="00AC51E8"/>
    <w:rsid w:val="00AC57DE"/>
    <w:rsid w:val="00AC6ACD"/>
    <w:rsid w:val="00AD06A2"/>
    <w:rsid w:val="00AD0CA9"/>
    <w:rsid w:val="00AD1C5F"/>
    <w:rsid w:val="00AD2407"/>
    <w:rsid w:val="00AD2F9B"/>
    <w:rsid w:val="00AD5EB1"/>
    <w:rsid w:val="00AD62D8"/>
    <w:rsid w:val="00AD72C3"/>
    <w:rsid w:val="00AD77E9"/>
    <w:rsid w:val="00AE1632"/>
    <w:rsid w:val="00AE447A"/>
    <w:rsid w:val="00AE49A7"/>
    <w:rsid w:val="00AE5146"/>
    <w:rsid w:val="00AE55C5"/>
    <w:rsid w:val="00AE5A4F"/>
    <w:rsid w:val="00AE6110"/>
    <w:rsid w:val="00AE6D4D"/>
    <w:rsid w:val="00AE7B16"/>
    <w:rsid w:val="00AF0B65"/>
    <w:rsid w:val="00AF6F39"/>
    <w:rsid w:val="00AF7EEF"/>
    <w:rsid w:val="00B002E0"/>
    <w:rsid w:val="00B0053F"/>
    <w:rsid w:val="00B0132A"/>
    <w:rsid w:val="00B029C1"/>
    <w:rsid w:val="00B03252"/>
    <w:rsid w:val="00B07968"/>
    <w:rsid w:val="00B07B19"/>
    <w:rsid w:val="00B10FBA"/>
    <w:rsid w:val="00B1189C"/>
    <w:rsid w:val="00B12666"/>
    <w:rsid w:val="00B126DA"/>
    <w:rsid w:val="00B142B2"/>
    <w:rsid w:val="00B15903"/>
    <w:rsid w:val="00B166C8"/>
    <w:rsid w:val="00B17E54"/>
    <w:rsid w:val="00B23604"/>
    <w:rsid w:val="00B243E6"/>
    <w:rsid w:val="00B24644"/>
    <w:rsid w:val="00B2566A"/>
    <w:rsid w:val="00B2704A"/>
    <w:rsid w:val="00B40462"/>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5BF6"/>
    <w:rsid w:val="00B670CE"/>
    <w:rsid w:val="00B67B79"/>
    <w:rsid w:val="00B67E74"/>
    <w:rsid w:val="00B709BD"/>
    <w:rsid w:val="00B716F8"/>
    <w:rsid w:val="00B82234"/>
    <w:rsid w:val="00B8229B"/>
    <w:rsid w:val="00B825B9"/>
    <w:rsid w:val="00B8283E"/>
    <w:rsid w:val="00B837AA"/>
    <w:rsid w:val="00B85E06"/>
    <w:rsid w:val="00B87D03"/>
    <w:rsid w:val="00B87F88"/>
    <w:rsid w:val="00B909E8"/>
    <w:rsid w:val="00B928EE"/>
    <w:rsid w:val="00B92AD5"/>
    <w:rsid w:val="00B94BA4"/>
    <w:rsid w:val="00B97DB5"/>
    <w:rsid w:val="00BA103C"/>
    <w:rsid w:val="00BA2041"/>
    <w:rsid w:val="00BA40DC"/>
    <w:rsid w:val="00BA4AB8"/>
    <w:rsid w:val="00BA6A67"/>
    <w:rsid w:val="00BB156E"/>
    <w:rsid w:val="00BB3ABA"/>
    <w:rsid w:val="00BB4FEC"/>
    <w:rsid w:val="00BB65B1"/>
    <w:rsid w:val="00BB69D5"/>
    <w:rsid w:val="00BC03E1"/>
    <w:rsid w:val="00BC1A92"/>
    <w:rsid w:val="00BC4593"/>
    <w:rsid w:val="00BC637D"/>
    <w:rsid w:val="00BD05BF"/>
    <w:rsid w:val="00BD1A5F"/>
    <w:rsid w:val="00BD3B45"/>
    <w:rsid w:val="00BD464A"/>
    <w:rsid w:val="00BD58EB"/>
    <w:rsid w:val="00BD6CFB"/>
    <w:rsid w:val="00BE28BE"/>
    <w:rsid w:val="00BE2902"/>
    <w:rsid w:val="00BE42CB"/>
    <w:rsid w:val="00BE6162"/>
    <w:rsid w:val="00BE6C9C"/>
    <w:rsid w:val="00BF0409"/>
    <w:rsid w:val="00BF0850"/>
    <w:rsid w:val="00BF3613"/>
    <w:rsid w:val="00BF37B7"/>
    <w:rsid w:val="00BF3CE6"/>
    <w:rsid w:val="00BF5C82"/>
    <w:rsid w:val="00BF7A5E"/>
    <w:rsid w:val="00C0085D"/>
    <w:rsid w:val="00C00E47"/>
    <w:rsid w:val="00C010AA"/>
    <w:rsid w:val="00C013EF"/>
    <w:rsid w:val="00C0168B"/>
    <w:rsid w:val="00C064FC"/>
    <w:rsid w:val="00C1166F"/>
    <w:rsid w:val="00C11D21"/>
    <w:rsid w:val="00C11EFC"/>
    <w:rsid w:val="00C1675F"/>
    <w:rsid w:val="00C172FB"/>
    <w:rsid w:val="00C21F2D"/>
    <w:rsid w:val="00C22A96"/>
    <w:rsid w:val="00C23439"/>
    <w:rsid w:val="00C27213"/>
    <w:rsid w:val="00C278C2"/>
    <w:rsid w:val="00C32425"/>
    <w:rsid w:val="00C33DEA"/>
    <w:rsid w:val="00C340C6"/>
    <w:rsid w:val="00C353D0"/>
    <w:rsid w:val="00C35AE1"/>
    <w:rsid w:val="00C363FA"/>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48B1"/>
    <w:rsid w:val="00C65327"/>
    <w:rsid w:val="00C657C9"/>
    <w:rsid w:val="00C663D3"/>
    <w:rsid w:val="00C67235"/>
    <w:rsid w:val="00C67382"/>
    <w:rsid w:val="00C70488"/>
    <w:rsid w:val="00C72471"/>
    <w:rsid w:val="00C72B4C"/>
    <w:rsid w:val="00C7616F"/>
    <w:rsid w:val="00C8086B"/>
    <w:rsid w:val="00C82D97"/>
    <w:rsid w:val="00C84D14"/>
    <w:rsid w:val="00C91C45"/>
    <w:rsid w:val="00C9369C"/>
    <w:rsid w:val="00C93EDD"/>
    <w:rsid w:val="00C953EF"/>
    <w:rsid w:val="00C953F6"/>
    <w:rsid w:val="00C97FD3"/>
    <w:rsid w:val="00CA0363"/>
    <w:rsid w:val="00CA06A4"/>
    <w:rsid w:val="00CA1A62"/>
    <w:rsid w:val="00CA501F"/>
    <w:rsid w:val="00CA59FA"/>
    <w:rsid w:val="00CA61CF"/>
    <w:rsid w:val="00CB1749"/>
    <w:rsid w:val="00CB3A9F"/>
    <w:rsid w:val="00CB5048"/>
    <w:rsid w:val="00CC10DA"/>
    <w:rsid w:val="00CC156D"/>
    <w:rsid w:val="00CC58C3"/>
    <w:rsid w:val="00CC58E1"/>
    <w:rsid w:val="00CD229F"/>
    <w:rsid w:val="00CD4B35"/>
    <w:rsid w:val="00CE2D1F"/>
    <w:rsid w:val="00CE52F0"/>
    <w:rsid w:val="00CE6624"/>
    <w:rsid w:val="00CF18A3"/>
    <w:rsid w:val="00CF356A"/>
    <w:rsid w:val="00CF494F"/>
    <w:rsid w:val="00CF4A61"/>
    <w:rsid w:val="00D027C6"/>
    <w:rsid w:val="00D029CB"/>
    <w:rsid w:val="00D04274"/>
    <w:rsid w:val="00D05A8B"/>
    <w:rsid w:val="00D0617E"/>
    <w:rsid w:val="00D065B1"/>
    <w:rsid w:val="00D06659"/>
    <w:rsid w:val="00D0699D"/>
    <w:rsid w:val="00D076EF"/>
    <w:rsid w:val="00D1447E"/>
    <w:rsid w:val="00D164B7"/>
    <w:rsid w:val="00D1747A"/>
    <w:rsid w:val="00D205D0"/>
    <w:rsid w:val="00D21306"/>
    <w:rsid w:val="00D2151A"/>
    <w:rsid w:val="00D22151"/>
    <w:rsid w:val="00D22A2E"/>
    <w:rsid w:val="00D240AB"/>
    <w:rsid w:val="00D25CA2"/>
    <w:rsid w:val="00D26BCB"/>
    <w:rsid w:val="00D26CC6"/>
    <w:rsid w:val="00D275C6"/>
    <w:rsid w:val="00D27639"/>
    <w:rsid w:val="00D330DC"/>
    <w:rsid w:val="00D35028"/>
    <w:rsid w:val="00D369E4"/>
    <w:rsid w:val="00D41A51"/>
    <w:rsid w:val="00D42DFD"/>
    <w:rsid w:val="00D45E14"/>
    <w:rsid w:val="00D47048"/>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76206"/>
    <w:rsid w:val="00D77EEA"/>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CCE"/>
    <w:rsid w:val="00DA7973"/>
    <w:rsid w:val="00DB3689"/>
    <w:rsid w:val="00DB3767"/>
    <w:rsid w:val="00DB39E0"/>
    <w:rsid w:val="00DB7729"/>
    <w:rsid w:val="00DC2146"/>
    <w:rsid w:val="00DC22BE"/>
    <w:rsid w:val="00DC51AD"/>
    <w:rsid w:val="00DC5F62"/>
    <w:rsid w:val="00DC7FAF"/>
    <w:rsid w:val="00DD02BA"/>
    <w:rsid w:val="00DD100B"/>
    <w:rsid w:val="00DD42F9"/>
    <w:rsid w:val="00DE05A6"/>
    <w:rsid w:val="00DE1B4A"/>
    <w:rsid w:val="00DE2CFF"/>
    <w:rsid w:val="00DE3330"/>
    <w:rsid w:val="00DE5939"/>
    <w:rsid w:val="00DF0868"/>
    <w:rsid w:val="00DF4CBC"/>
    <w:rsid w:val="00DF5370"/>
    <w:rsid w:val="00E0032E"/>
    <w:rsid w:val="00E0082E"/>
    <w:rsid w:val="00E0205D"/>
    <w:rsid w:val="00E03BE1"/>
    <w:rsid w:val="00E048C6"/>
    <w:rsid w:val="00E0737F"/>
    <w:rsid w:val="00E1018A"/>
    <w:rsid w:val="00E120F4"/>
    <w:rsid w:val="00E12A4C"/>
    <w:rsid w:val="00E153F6"/>
    <w:rsid w:val="00E15F7E"/>
    <w:rsid w:val="00E173DF"/>
    <w:rsid w:val="00E24866"/>
    <w:rsid w:val="00E2780E"/>
    <w:rsid w:val="00E27FC2"/>
    <w:rsid w:val="00E31912"/>
    <w:rsid w:val="00E31B60"/>
    <w:rsid w:val="00E31D33"/>
    <w:rsid w:val="00E34D88"/>
    <w:rsid w:val="00E353DB"/>
    <w:rsid w:val="00E36375"/>
    <w:rsid w:val="00E40D48"/>
    <w:rsid w:val="00E40DBF"/>
    <w:rsid w:val="00E42C98"/>
    <w:rsid w:val="00E43798"/>
    <w:rsid w:val="00E43842"/>
    <w:rsid w:val="00E43FB9"/>
    <w:rsid w:val="00E468CA"/>
    <w:rsid w:val="00E473B4"/>
    <w:rsid w:val="00E47CAE"/>
    <w:rsid w:val="00E47D3F"/>
    <w:rsid w:val="00E47DDB"/>
    <w:rsid w:val="00E521EE"/>
    <w:rsid w:val="00E5306E"/>
    <w:rsid w:val="00E547B5"/>
    <w:rsid w:val="00E601F7"/>
    <w:rsid w:val="00E62B3D"/>
    <w:rsid w:val="00E6315A"/>
    <w:rsid w:val="00E63986"/>
    <w:rsid w:val="00E65554"/>
    <w:rsid w:val="00E65E86"/>
    <w:rsid w:val="00E66C3B"/>
    <w:rsid w:val="00E67A63"/>
    <w:rsid w:val="00E71B00"/>
    <w:rsid w:val="00E73C7F"/>
    <w:rsid w:val="00E740D9"/>
    <w:rsid w:val="00E81712"/>
    <w:rsid w:val="00E8224F"/>
    <w:rsid w:val="00E832E5"/>
    <w:rsid w:val="00E853FB"/>
    <w:rsid w:val="00E85E3C"/>
    <w:rsid w:val="00E877D8"/>
    <w:rsid w:val="00E92404"/>
    <w:rsid w:val="00E943EE"/>
    <w:rsid w:val="00EA0385"/>
    <w:rsid w:val="00EA3791"/>
    <w:rsid w:val="00EA4D0C"/>
    <w:rsid w:val="00EA4E53"/>
    <w:rsid w:val="00EA5F48"/>
    <w:rsid w:val="00EA6259"/>
    <w:rsid w:val="00EA63A0"/>
    <w:rsid w:val="00EA7660"/>
    <w:rsid w:val="00EA7720"/>
    <w:rsid w:val="00EA7F21"/>
    <w:rsid w:val="00EB1559"/>
    <w:rsid w:val="00EB1663"/>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FF0"/>
    <w:rsid w:val="00EE5769"/>
    <w:rsid w:val="00EE5CA6"/>
    <w:rsid w:val="00EE6916"/>
    <w:rsid w:val="00EF1335"/>
    <w:rsid w:val="00EF1557"/>
    <w:rsid w:val="00EF4AE0"/>
    <w:rsid w:val="00EF4FE8"/>
    <w:rsid w:val="00EF6FA1"/>
    <w:rsid w:val="00F012FF"/>
    <w:rsid w:val="00F01A21"/>
    <w:rsid w:val="00F046E9"/>
    <w:rsid w:val="00F04831"/>
    <w:rsid w:val="00F12DA8"/>
    <w:rsid w:val="00F1322B"/>
    <w:rsid w:val="00F13699"/>
    <w:rsid w:val="00F16AB3"/>
    <w:rsid w:val="00F241E7"/>
    <w:rsid w:val="00F25124"/>
    <w:rsid w:val="00F25BEF"/>
    <w:rsid w:val="00F270BA"/>
    <w:rsid w:val="00F308AF"/>
    <w:rsid w:val="00F32911"/>
    <w:rsid w:val="00F337F8"/>
    <w:rsid w:val="00F33B26"/>
    <w:rsid w:val="00F3464D"/>
    <w:rsid w:val="00F34704"/>
    <w:rsid w:val="00F34AA7"/>
    <w:rsid w:val="00F35208"/>
    <w:rsid w:val="00F352C8"/>
    <w:rsid w:val="00F36774"/>
    <w:rsid w:val="00F405D4"/>
    <w:rsid w:val="00F40AA9"/>
    <w:rsid w:val="00F40C50"/>
    <w:rsid w:val="00F4100B"/>
    <w:rsid w:val="00F42F39"/>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4971"/>
    <w:rsid w:val="00F854ED"/>
    <w:rsid w:val="00F90E30"/>
    <w:rsid w:val="00F917E4"/>
    <w:rsid w:val="00F91B00"/>
    <w:rsid w:val="00F92751"/>
    <w:rsid w:val="00F9424D"/>
    <w:rsid w:val="00F94D96"/>
    <w:rsid w:val="00F94DFC"/>
    <w:rsid w:val="00F96BAD"/>
    <w:rsid w:val="00F971E1"/>
    <w:rsid w:val="00FA34B5"/>
    <w:rsid w:val="00FB0158"/>
    <w:rsid w:val="00FB06CF"/>
    <w:rsid w:val="00FB16BC"/>
    <w:rsid w:val="00FB25A0"/>
    <w:rsid w:val="00FB2B68"/>
    <w:rsid w:val="00FB2D7C"/>
    <w:rsid w:val="00FB4F37"/>
    <w:rsid w:val="00FB5AB0"/>
    <w:rsid w:val="00FB79F1"/>
    <w:rsid w:val="00FB7E5A"/>
    <w:rsid w:val="00FC38FF"/>
    <w:rsid w:val="00FC6E54"/>
    <w:rsid w:val="00FC7104"/>
    <w:rsid w:val="00FC7D38"/>
    <w:rsid w:val="00FD1379"/>
    <w:rsid w:val="00FD238F"/>
    <w:rsid w:val="00FD33A2"/>
    <w:rsid w:val="00FD6206"/>
    <w:rsid w:val="00FE09E7"/>
    <w:rsid w:val="00FE2161"/>
    <w:rsid w:val="00FE58B6"/>
    <w:rsid w:val="00FE7430"/>
    <w:rsid w:val="00FF0471"/>
    <w:rsid w:val="00FF0771"/>
    <w:rsid w:val="00FF0AAD"/>
    <w:rsid w:val="00FF29CE"/>
    <w:rsid w:val="00FF2E7C"/>
    <w:rsid w:val="00FF33F4"/>
    <w:rsid w:val="00FF3FC8"/>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6F83A72"/>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628B7"/>
    <w:rsid w:val="079E10DC"/>
    <w:rsid w:val="07CE2E21"/>
    <w:rsid w:val="07D029D5"/>
    <w:rsid w:val="07D37F63"/>
    <w:rsid w:val="07D74616"/>
    <w:rsid w:val="07D74975"/>
    <w:rsid w:val="07DE52F0"/>
    <w:rsid w:val="07E53D87"/>
    <w:rsid w:val="07EF7EE5"/>
    <w:rsid w:val="08141163"/>
    <w:rsid w:val="08170ACF"/>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6E7567"/>
    <w:rsid w:val="0D791AD7"/>
    <w:rsid w:val="0D7A3592"/>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0591"/>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80192E"/>
    <w:rsid w:val="168521B8"/>
    <w:rsid w:val="16A208E0"/>
    <w:rsid w:val="16A24B43"/>
    <w:rsid w:val="16A5270A"/>
    <w:rsid w:val="16B56C2D"/>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473AC5"/>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8C3829"/>
    <w:rsid w:val="18A5771F"/>
    <w:rsid w:val="18A90685"/>
    <w:rsid w:val="18AF74E1"/>
    <w:rsid w:val="18CB7663"/>
    <w:rsid w:val="18CD0844"/>
    <w:rsid w:val="18D45411"/>
    <w:rsid w:val="18D63AE2"/>
    <w:rsid w:val="18F8655D"/>
    <w:rsid w:val="18FE2979"/>
    <w:rsid w:val="19057478"/>
    <w:rsid w:val="190E7C32"/>
    <w:rsid w:val="19160144"/>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B4538"/>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621765"/>
    <w:rsid w:val="216E764F"/>
    <w:rsid w:val="217215FD"/>
    <w:rsid w:val="21737460"/>
    <w:rsid w:val="2176492F"/>
    <w:rsid w:val="217F5FEA"/>
    <w:rsid w:val="218616DA"/>
    <w:rsid w:val="21AA139D"/>
    <w:rsid w:val="21B56E0C"/>
    <w:rsid w:val="21C2768F"/>
    <w:rsid w:val="21D634F4"/>
    <w:rsid w:val="21D912D2"/>
    <w:rsid w:val="21E26D67"/>
    <w:rsid w:val="21E34612"/>
    <w:rsid w:val="21EC5465"/>
    <w:rsid w:val="21F0049D"/>
    <w:rsid w:val="21FC4A83"/>
    <w:rsid w:val="220348F7"/>
    <w:rsid w:val="220710B9"/>
    <w:rsid w:val="22156802"/>
    <w:rsid w:val="22273871"/>
    <w:rsid w:val="223A1D76"/>
    <w:rsid w:val="2243324F"/>
    <w:rsid w:val="226709A2"/>
    <w:rsid w:val="22810C1D"/>
    <w:rsid w:val="228B310C"/>
    <w:rsid w:val="22A47B87"/>
    <w:rsid w:val="22A93DC0"/>
    <w:rsid w:val="22B21FB3"/>
    <w:rsid w:val="22B372CC"/>
    <w:rsid w:val="22C0384D"/>
    <w:rsid w:val="22C22C57"/>
    <w:rsid w:val="22DD7E0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C0DA1"/>
    <w:rsid w:val="27A449A7"/>
    <w:rsid w:val="27B24E9C"/>
    <w:rsid w:val="27BC433E"/>
    <w:rsid w:val="27CE139A"/>
    <w:rsid w:val="27E25E49"/>
    <w:rsid w:val="27E63AB6"/>
    <w:rsid w:val="27ED5A7F"/>
    <w:rsid w:val="27F231DD"/>
    <w:rsid w:val="28177493"/>
    <w:rsid w:val="281D7B4E"/>
    <w:rsid w:val="282B4784"/>
    <w:rsid w:val="283C5A70"/>
    <w:rsid w:val="2845270C"/>
    <w:rsid w:val="284A470E"/>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1D3820"/>
    <w:rsid w:val="2A2033C1"/>
    <w:rsid w:val="2A414207"/>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2049A"/>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46283D"/>
    <w:rsid w:val="315D1164"/>
    <w:rsid w:val="315F2BB6"/>
    <w:rsid w:val="3173104B"/>
    <w:rsid w:val="317D6B35"/>
    <w:rsid w:val="31902AB1"/>
    <w:rsid w:val="319D0930"/>
    <w:rsid w:val="31A30319"/>
    <w:rsid w:val="31B25CF4"/>
    <w:rsid w:val="31B50898"/>
    <w:rsid w:val="31B62FDB"/>
    <w:rsid w:val="31BA2482"/>
    <w:rsid w:val="31BE47CA"/>
    <w:rsid w:val="31CA1784"/>
    <w:rsid w:val="31CC089F"/>
    <w:rsid w:val="31D01CA2"/>
    <w:rsid w:val="31DF176C"/>
    <w:rsid w:val="31F45A41"/>
    <w:rsid w:val="31FF4B7E"/>
    <w:rsid w:val="322E6109"/>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E68F1"/>
    <w:rsid w:val="342105B8"/>
    <w:rsid w:val="34217FBA"/>
    <w:rsid w:val="3439248A"/>
    <w:rsid w:val="343B008C"/>
    <w:rsid w:val="344267D1"/>
    <w:rsid w:val="344A237C"/>
    <w:rsid w:val="34547A4D"/>
    <w:rsid w:val="346C064E"/>
    <w:rsid w:val="346C77B6"/>
    <w:rsid w:val="34717DC6"/>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549DB"/>
    <w:rsid w:val="366751F6"/>
    <w:rsid w:val="36813B36"/>
    <w:rsid w:val="3686386E"/>
    <w:rsid w:val="3689707A"/>
    <w:rsid w:val="368A2A0E"/>
    <w:rsid w:val="368D5D06"/>
    <w:rsid w:val="3697517B"/>
    <w:rsid w:val="36A562CA"/>
    <w:rsid w:val="36B42F17"/>
    <w:rsid w:val="36B813FC"/>
    <w:rsid w:val="36B814BF"/>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D71F6B"/>
    <w:rsid w:val="3ADC2509"/>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38206B"/>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83845"/>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10D7C"/>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3371A"/>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0D22"/>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8A7FA4"/>
    <w:rsid w:val="56952F1F"/>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C5B42"/>
    <w:rsid w:val="5B0F1D02"/>
    <w:rsid w:val="5B167C07"/>
    <w:rsid w:val="5B17528B"/>
    <w:rsid w:val="5B24073B"/>
    <w:rsid w:val="5B265952"/>
    <w:rsid w:val="5B315B1B"/>
    <w:rsid w:val="5B3E3B02"/>
    <w:rsid w:val="5B487FEA"/>
    <w:rsid w:val="5B524538"/>
    <w:rsid w:val="5B531472"/>
    <w:rsid w:val="5B57769D"/>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44133"/>
    <w:rsid w:val="63C54498"/>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A75489"/>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00D96"/>
    <w:rsid w:val="6D8A17FB"/>
    <w:rsid w:val="6D95593B"/>
    <w:rsid w:val="6DAB38BE"/>
    <w:rsid w:val="6DD65ED1"/>
    <w:rsid w:val="6DE63F0D"/>
    <w:rsid w:val="6DEB24F1"/>
    <w:rsid w:val="6E0C22A1"/>
    <w:rsid w:val="6E1064BE"/>
    <w:rsid w:val="6E11324D"/>
    <w:rsid w:val="6E3433E7"/>
    <w:rsid w:val="6E361F05"/>
    <w:rsid w:val="6E363CDF"/>
    <w:rsid w:val="6E3F7264"/>
    <w:rsid w:val="6E403437"/>
    <w:rsid w:val="6E527A2D"/>
    <w:rsid w:val="6E7B5445"/>
    <w:rsid w:val="6E806FDB"/>
    <w:rsid w:val="6E847F11"/>
    <w:rsid w:val="6E896858"/>
    <w:rsid w:val="6E9C3DB5"/>
    <w:rsid w:val="6E9F30D8"/>
    <w:rsid w:val="6EA0144C"/>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B94CE3"/>
    <w:rsid w:val="6FBE5CCB"/>
    <w:rsid w:val="6FC13350"/>
    <w:rsid w:val="6FC323D9"/>
    <w:rsid w:val="6FCC39AB"/>
    <w:rsid w:val="6FD638B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D7EE8"/>
    <w:rsid w:val="72251DA4"/>
    <w:rsid w:val="72511B96"/>
    <w:rsid w:val="72712929"/>
    <w:rsid w:val="72735155"/>
    <w:rsid w:val="7274287C"/>
    <w:rsid w:val="728114C6"/>
    <w:rsid w:val="7288016D"/>
    <w:rsid w:val="729446A5"/>
    <w:rsid w:val="729A2B05"/>
    <w:rsid w:val="729B764A"/>
    <w:rsid w:val="729E44D2"/>
    <w:rsid w:val="72A36B4A"/>
    <w:rsid w:val="72B375F5"/>
    <w:rsid w:val="72B42071"/>
    <w:rsid w:val="72B60E02"/>
    <w:rsid w:val="72C740ED"/>
    <w:rsid w:val="72CD5369"/>
    <w:rsid w:val="72E673CF"/>
    <w:rsid w:val="72EB533D"/>
    <w:rsid w:val="730B0B61"/>
    <w:rsid w:val="7317407A"/>
    <w:rsid w:val="731B3421"/>
    <w:rsid w:val="7323171B"/>
    <w:rsid w:val="73242CBC"/>
    <w:rsid w:val="732A411A"/>
    <w:rsid w:val="73371299"/>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5002272"/>
    <w:rsid w:val="75041807"/>
    <w:rsid w:val="75111A9D"/>
    <w:rsid w:val="752D306B"/>
    <w:rsid w:val="753022BE"/>
    <w:rsid w:val="75311E23"/>
    <w:rsid w:val="754F3919"/>
    <w:rsid w:val="75530645"/>
    <w:rsid w:val="755631A4"/>
    <w:rsid w:val="755F2C4C"/>
    <w:rsid w:val="75711A95"/>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A260A"/>
    <w:rsid w:val="7C741B8F"/>
    <w:rsid w:val="7C8C6FF8"/>
    <w:rsid w:val="7C8D6CAE"/>
    <w:rsid w:val="7C950DB7"/>
    <w:rsid w:val="7C98405E"/>
    <w:rsid w:val="7C9F4809"/>
    <w:rsid w:val="7CA20D5A"/>
    <w:rsid w:val="7CA751A0"/>
    <w:rsid w:val="7CAC6F42"/>
    <w:rsid w:val="7CB22B84"/>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4"/>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2"/>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4"/>
    <w:qFormat/>
    <w:uiPriority w:val="0"/>
    <w:pPr>
      <w:tabs>
        <w:tab w:val="left" w:pos="1008"/>
        <w:tab w:val="left" w:pos="2383"/>
        <w:tab w:val="clear" w:pos="864"/>
        <w:tab w:val="clear" w:pos="2071"/>
      </w:tabs>
      <w:ind w:left="2196"/>
      <w:outlineLvl w:val="4"/>
    </w:p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90"/>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9"/>
    <w:unhideWhenUsed/>
    <w:qFormat/>
    <w:uiPriority w:val="0"/>
    <w:rPr>
      <w:rFonts w:ascii="宋体"/>
      <w:sz w:val="18"/>
      <w:szCs w:val="18"/>
    </w:rPr>
  </w:style>
  <w:style w:type="paragraph" w:styleId="24">
    <w:name w:val="annotation text"/>
    <w:basedOn w:val="1"/>
    <w:link w:val="176"/>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character" w:customStyle="1" w:styleId="67">
    <w:name w:val="批注框文本 Char"/>
    <w:basedOn w:val="58"/>
    <w:link w:val="36"/>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文档结构图 Char"/>
    <w:basedOn w:val="58"/>
    <w:link w:val="23"/>
    <w:qFormat/>
    <w:uiPriority w:val="0"/>
    <w:rPr>
      <w:rFonts w:ascii="宋体"/>
      <w:kern w:val="2"/>
      <w:sz w:val="18"/>
      <w:szCs w:val="18"/>
    </w:rPr>
  </w:style>
  <w:style w:type="character" w:customStyle="1" w:styleId="70">
    <w:name w:val="标题 1 Char"/>
    <w:basedOn w:val="58"/>
    <w:link w:val="2"/>
    <w:qFormat/>
    <w:uiPriority w:val="0"/>
    <w:rPr>
      <w:b/>
      <w:bCs/>
      <w:kern w:val="44"/>
      <w:sz w:val="44"/>
      <w:szCs w:val="44"/>
    </w:rPr>
  </w:style>
  <w:style w:type="character" w:customStyle="1" w:styleId="71">
    <w:name w:val="标题 2 Char"/>
    <w:basedOn w:val="58"/>
    <w:link w:val="3"/>
    <w:qFormat/>
    <w:uiPriority w:val="0"/>
    <w:rPr>
      <w:rFonts w:ascii="Arial" w:hAnsi="Arial" w:eastAsia="MS Mincho"/>
      <w:sz w:val="32"/>
      <w:szCs w:val="32"/>
      <w:lang w:val="en-GB"/>
    </w:rPr>
  </w:style>
  <w:style w:type="character" w:customStyle="1" w:styleId="72">
    <w:name w:val="标题 3 Char"/>
    <w:basedOn w:val="58"/>
    <w:link w:val="4"/>
    <w:qFormat/>
    <w:uiPriority w:val="0"/>
    <w:rPr>
      <w:b/>
      <w:bCs/>
      <w:kern w:val="2"/>
      <w:sz w:val="32"/>
      <w:szCs w:val="32"/>
    </w:rPr>
  </w:style>
  <w:style w:type="character" w:customStyle="1" w:styleId="73">
    <w:name w:val="标题 4 Char"/>
    <w:basedOn w:val="58"/>
    <w:link w:val="5"/>
    <w:qFormat/>
    <w:uiPriority w:val="0"/>
    <w:rPr>
      <w:rFonts w:ascii="Arial" w:hAnsi="Arial" w:eastAsia="黑体"/>
      <w:b/>
      <w:kern w:val="2"/>
      <w:sz w:val="28"/>
      <w:szCs w:val="24"/>
    </w:rPr>
  </w:style>
  <w:style w:type="character" w:customStyle="1" w:styleId="74">
    <w:name w:val="标题 5 Char"/>
    <w:basedOn w:val="58"/>
    <w:link w:val="6"/>
    <w:qFormat/>
    <w:uiPriority w:val="0"/>
    <w:rPr>
      <w:b/>
      <w:kern w:val="2"/>
      <w:sz w:val="28"/>
      <w:szCs w:val="24"/>
    </w:rPr>
  </w:style>
  <w:style w:type="character" w:customStyle="1" w:styleId="75">
    <w:name w:val="标题 6 Char"/>
    <w:basedOn w:val="58"/>
    <w:link w:val="7"/>
    <w:qFormat/>
    <w:uiPriority w:val="0"/>
    <w:rPr>
      <w:rFonts w:ascii="Arial" w:hAnsi="Arial" w:eastAsia="黑体"/>
      <w:b/>
      <w:kern w:val="2"/>
      <w:sz w:val="24"/>
      <w:szCs w:val="24"/>
    </w:rPr>
  </w:style>
  <w:style w:type="character" w:customStyle="1" w:styleId="76">
    <w:name w:val="标题 7 Char"/>
    <w:basedOn w:val="58"/>
    <w:link w:val="8"/>
    <w:qFormat/>
    <w:uiPriority w:val="0"/>
    <w:rPr>
      <w:b/>
      <w:kern w:val="2"/>
      <w:sz w:val="24"/>
      <w:szCs w:val="24"/>
    </w:rPr>
  </w:style>
  <w:style w:type="character" w:customStyle="1" w:styleId="77">
    <w:name w:val="标题 8 Char"/>
    <w:basedOn w:val="58"/>
    <w:link w:val="9"/>
    <w:qFormat/>
    <w:uiPriority w:val="0"/>
    <w:rPr>
      <w:rFonts w:ascii="Arial" w:hAnsi="Arial" w:eastAsia="黑体"/>
      <w:kern w:val="2"/>
      <w:sz w:val="24"/>
      <w:szCs w:val="24"/>
    </w:rPr>
  </w:style>
  <w:style w:type="character" w:customStyle="1" w:styleId="78">
    <w:name w:val="标题 9 Char"/>
    <w:basedOn w:val="58"/>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题注 Char"/>
    <w:link w:val="21"/>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批注主题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5"/>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7"/>
    <w:link w:val="106"/>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8"/>
    <w:link w:val="26"/>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页眉 Char"/>
    <w:link w:val="38"/>
    <w:qFormat/>
    <w:uiPriority w:val="99"/>
    <w:rPr>
      <w:kern w:val="2"/>
      <w:sz w:val="18"/>
      <w:szCs w:val="18"/>
    </w:rPr>
  </w:style>
  <w:style w:type="character" w:customStyle="1" w:styleId="131">
    <w:name w:val="Doc-text2 Char Char"/>
    <w:basedOn w:val="58"/>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脚注文本 Char"/>
    <w:basedOn w:val="58"/>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8"/>
    <w:semiHidden/>
    <w:qFormat/>
    <w:uiPriority w:val="0"/>
    <w:rPr>
      <w:rFonts w:ascii="宋体" w:hAnsi="Courier New" w:cs="Courier New"/>
      <w:kern w:val="2"/>
      <w:sz w:val="21"/>
      <w:szCs w:val="21"/>
    </w:rPr>
  </w:style>
  <w:style w:type="paragraph" w:customStyle="1" w:styleId="163">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批注文字 Char1"/>
    <w:basedOn w:val="58"/>
    <w:link w:val="24"/>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8"/>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尾注文本 Char"/>
    <w:basedOn w:val="58"/>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8"/>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15"/>
    <w:basedOn w:val="58"/>
    <w:qFormat/>
    <w:uiPriority w:val="0"/>
    <w:rPr>
      <w:rFonts w:hint="default" w:ascii="CG Times (WN)" w:hAnsi="CG Times (WN)" w:eastAsia="CG Times (WN)" w:cs="CG Times (WN)"/>
    </w:rPr>
  </w:style>
  <w:style w:type="character" w:customStyle="1" w:styleId="281">
    <w:name w:val="10"/>
    <w:basedOn w:val="58"/>
    <w:qFormat/>
    <w:uiPriority w:val="0"/>
    <w:rPr>
      <w:rFonts w:hint="default" w:ascii="CG Times (WN)" w:hAnsi="CG Times (WN)" w:eastAsia="CG Times (WN)" w:cs="CG Times (WN)"/>
    </w:rPr>
  </w:style>
  <w:style w:type="paragraph" w:customStyle="1" w:styleId="282">
    <w:name w:val="List Paragraph1"/>
    <w:basedOn w:val="1"/>
    <w:unhideWhenUsed/>
    <w:qFormat/>
    <w:uiPriority w:val="34"/>
    <w:pPr>
      <w:ind w:firstLine="420" w:firstLineChars="200"/>
    </w:pPr>
  </w:style>
  <w:style w:type="character" w:customStyle="1" w:styleId="283">
    <w:name w:val="apple-converted-space"/>
    <w:qFormat/>
    <w:uiPriority w:val="0"/>
  </w:style>
  <w:style w:type="paragraph" w:customStyle="1" w:styleId="284">
    <w:name w:val="00 BodyText"/>
    <w:basedOn w:val="1"/>
    <w:qFormat/>
    <w:uiPriority w:val="0"/>
    <w:pPr>
      <w:spacing w:after="220"/>
    </w:pPr>
    <w:rPr>
      <w:rFonts w:ascii="Arial" w:hAnsi="Arial"/>
      <w:sz w:val="22"/>
      <w:lang w:eastAsia="en-US"/>
    </w:rPr>
  </w:style>
  <w:style w:type="paragraph" w:customStyle="1" w:styleId="285">
    <w:name w:val="x_msonormal"/>
    <w:basedOn w:val="1"/>
    <w:qFormat/>
    <w:uiPriority w:val="99"/>
    <w:rPr>
      <w:rFonts w:ascii="Calibri" w:hAnsi="Calibri" w:eastAsia="Calibri" w:cs="Calibri"/>
      <w:sz w:val="22"/>
      <w:szCs w:val="22"/>
      <w:lang w:val="en-US"/>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CB6D12-79AF-4623-845D-1028FDCE8310}">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1</Pages>
  <Words>941</Words>
  <Characters>5364</Characters>
  <Lines>44</Lines>
  <Paragraphs>12</Paragraphs>
  <TotalTime>3</TotalTime>
  <ScaleCrop>false</ScaleCrop>
  <LinksUpToDate>false</LinksUpToDate>
  <CharactersWithSpaces>6293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2020-10-21T08:44:00Z</dcterms:created>
  <dc:creator>10033860</dc:creator>
  <cp:lastModifiedBy>ZTE DF</cp:lastModifiedBy>
  <cp:lastPrinted>2113-01-01T00:00:00Z</cp:lastPrinted>
  <dcterms:modified xsi:type="dcterms:W3CDTF">2022-01-11T07:02:37Z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